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0D7C" w:rsidRPr="00610D7C" w:rsidRDefault="00610D7C" w:rsidP="00610D7C">
      <w:pPr>
        <w:keepNext/>
        <w:spacing w:after="0" w:line="240" w:lineRule="auto"/>
        <w:jc w:val="center"/>
        <w:outlineLvl w:val="0"/>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 xml:space="preserve">6 ТӘЖІРИБЕЛІК ЖҰМЫС   </w:t>
      </w:r>
    </w:p>
    <w:p w:rsidR="00610D7C" w:rsidRPr="00610D7C" w:rsidRDefault="00610D7C" w:rsidP="00610D7C">
      <w:pPr>
        <w:spacing w:after="0" w:line="240" w:lineRule="auto"/>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«ЖҮРГІЗУШІ – АВТОМОБИЛЬ – ЖОЛ – ОРТА» ЖҮЙЕСІНІҢ СЕНІМДІЛІГІН БАҒАЛАУ</w:t>
      </w:r>
    </w:p>
    <w:p w:rsidR="00610D7C" w:rsidRPr="00610D7C" w:rsidRDefault="00610D7C" w:rsidP="00610D7C">
      <w:pPr>
        <w:spacing w:after="0" w:line="240" w:lineRule="auto"/>
        <w:jc w:val="center"/>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72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 xml:space="preserve"> 6.1 Жұмыстың мақсаты</w:t>
      </w:r>
    </w:p>
    <w:p w:rsidR="00610D7C" w:rsidRPr="00610D7C" w:rsidRDefault="00610D7C" w:rsidP="00610D7C">
      <w:pPr>
        <w:spacing w:after="0" w:line="240" w:lineRule="auto"/>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Автомобиль, жол жасау, жүргізуші әрекеті сенімділігін бағалаумен танысу. Жүргізуші –автомобиль – жол жүйесінің сенімділігіне ортаның әсері. Негізгі терминдерді білу.</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keepNext/>
        <w:spacing w:after="0" w:line="240" w:lineRule="auto"/>
        <w:jc w:val="both"/>
        <w:outlineLvl w:val="1"/>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6.2 Қысқаша теориялық мәліметтер</w:t>
      </w:r>
    </w:p>
    <w:p w:rsidR="00610D7C" w:rsidRPr="00610D7C" w:rsidRDefault="00610D7C" w:rsidP="00610D7C">
      <w:pPr>
        <w:spacing w:after="0" w:line="240" w:lineRule="auto"/>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2.1 Автомобильдің сенімділігін бағалау</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Сенімділік теориясы механизмдер, машинаны жасау процестерін оқытады, яғни оның уақыт сапасында өзгеруі.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Автомобильді немесе толық техникалық жүйесін объект деп атау қолданған. Объект элементтерден тұрады, мысалы автомобиль агрегаттардан, жүйеден, түйіндерден және бөлшектерден тұрады.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Сенімділікті білу позициясына объектінің күйі әсер етеді. Объект түзік (ақаулы), жұмысқа қабілетті (жұмысқа қабілетсіз), шекті жағдайда болуы мүмкін.</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Қойылатын талаптарға жауап бере алатын болса, объект түзік болып саналады.   Егер де олардың біреуі болсын бұзылса, онда ол ақаулы болады.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Егер қауіпсіздік талаптарына, тиімділікті төмендетудің жойылмайтын, күрделі жөндеулердің кезекті себептері бойынша оны болашақта пайдаланудың тоқтатылуы болса, объект жағдайы шекті болады.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Объект жөнделетін және жөнделмейтін болуы мүмкін.</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b/>
          <w:sz w:val="28"/>
          <w:szCs w:val="24"/>
          <w:lang w:val="ru-MD" w:eastAsia="ru-RU"/>
        </w:rPr>
        <w:t xml:space="preserve">Объектінің сенімділігі – </w:t>
      </w:r>
      <w:r w:rsidRPr="00610D7C">
        <w:rPr>
          <w:rFonts w:ascii="KZ Times New Roman" w:eastAsia="Times New Roman" w:hAnsi="KZ Times New Roman" w:cs="Times New Roman"/>
          <w:sz w:val="28"/>
          <w:szCs w:val="24"/>
          <w:lang w:val="ru-MD" w:eastAsia="ru-RU"/>
        </w:rPr>
        <w:t>берілген тәртіпте және қолдану жағдайларында, техникалық қызмет көрсетулерде, жөндеуге, сақтауда және талап етілетін функциялардың орындалу қабілетін түсіндіретін, барлық параметрлердің шектелген мәннің қойылу уақытында сақтау қасиеті.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Көрініп тұрғандай, сенімділік объектінің күрделі қасиеті болып табылады. Автомобильдің сенімділігін оның кідіріссіздігіне, жөндеуге жарамдылығына, ұзақ мерзімділігі, сақталуына себепші болады.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Жөндеуге жарамдылық деңгейі жөнінде 3 көрсеткіштің нәтижесін талдауға болады. Жөндеуге жарамдылық көрсеткішінің классификациясы 4 кестеде көрсетілген.</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keepNext/>
        <w:spacing w:after="0" w:line="240" w:lineRule="auto"/>
        <w:ind w:firstLine="900"/>
        <w:jc w:val="center"/>
        <w:outlineLvl w:val="2"/>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Жөндеудегі жарамдылық көрсеткіштері және оларды</w:t>
      </w: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қолдану аумағы.</w:t>
      </w: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132"/>
        <w:gridCol w:w="1907"/>
        <w:gridCol w:w="3249"/>
      </w:tblGrid>
      <w:tr w:rsidR="00610D7C" w:rsidRPr="00610D7C" w:rsidTr="009B3C02">
        <w:tblPrEx>
          <w:tblCellMar>
            <w:top w:w="0" w:type="dxa"/>
            <w:bottom w:w="0" w:type="dxa"/>
          </w:tblCellMar>
        </w:tblPrEx>
        <w:tc>
          <w:tcPr>
            <w:tcW w:w="4132" w:type="dxa"/>
            <w:tcBorders>
              <w:top w:val="single" w:sz="4" w:space="0" w:color="auto"/>
              <w:left w:val="single" w:sz="4" w:space="0" w:color="auto"/>
              <w:bottom w:val="single" w:sz="4" w:space="0" w:color="auto"/>
              <w:right w:val="single" w:sz="4" w:space="0" w:color="auto"/>
            </w:tcBorders>
          </w:tcPr>
          <w:p w:rsidR="00610D7C" w:rsidRPr="00610D7C" w:rsidRDefault="00610D7C" w:rsidP="00610D7C">
            <w:pPr>
              <w:spacing w:after="0" w:line="240" w:lineRule="auto"/>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lastRenderedPageBreak/>
              <w:t>Жөндеуге жарамдылық көрсеткіштері</w:t>
            </w:r>
          </w:p>
        </w:tc>
        <w:tc>
          <w:tcPr>
            <w:tcW w:w="1907" w:type="dxa"/>
            <w:tcBorders>
              <w:top w:val="single" w:sz="4" w:space="0" w:color="auto"/>
              <w:left w:val="single" w:sz="4" w:space="0" w:color="auto"/>
              <w:bottom w:val="single" w:sz="4" w:space="0" w:color="auto"/>
              <w:right w:val="single" w:sz="4" w:space="0" w:color="auto"/>
            </w:tcBorders>
          </w:tcPr>
          <w:p w:rsidR="00610D7C" w:rsidRPr="00610D7C" w:rsidRDefault="00610D7C" w:rsidP="00610D7C">
            <w:pPr>
              <w:spacing w:after="0" w:line="240" w:lineRule="auto"/>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Өлшем бірлігі</w:t>
            </w:r>
          </w:p>
        </w:tc>
        <w:tc>
          <w:tcPr>
            <w:tcW w:w="3249" w:type="dxa"/>
            <w:tcBorders>
              <w:top w:val="single" w:sz="4" w:space="0" w:color="auto"/>
              <w:left w:val="single" w:sz="4" w:space="0" w:color="auto"/>
              <w:bottom w:val="single" w:sz="4" w:space="0" w:color="auto"/>
              <w:right w:val="single" w:sz="4" w:space="0" w:color="auto"/>
            </w:tcBorders>
          </w:tcPr>
          <w:p w:rsidR="00610D7C" w:rsidRPr="00610D7C" w:rsidRDefault="00610D7C" w:rsidP="00610D7C">
            <w:pPr>
              <w:spacing w:after="0" w:line="240" w:lineRule="auto"/>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Қолдану аумағы</w:t>
            </w:r>
          </w:p>
        </w:tc>
      </w:tr>
      <w:tr w:rsidR="00610D7C" w:rsidRPr="00610D7C" w:rsidTr="009B3C02">
        <w:tblPrEx>
          <w:tblCellMar>
            <w:top w:w="0" w:type="dxa"/>
            <w:bottom w:w="0" w:type="dxa"/>
          </w:tblCellMar>
        </w:tblPrEx>
        <w:tc>
          <w:tcPr>
            <w:tcW w:w="4132" w:type="dxa"/>
            <w:tcBorders>
              <w:top w:val="single" w:sz="4" w:space="0" w:color="auto"/>
              <w:left w:val="single" w:sz="4" w:space="0" w:color="auto"/>
              <w:bottom w:val="single" w:sz="4" w:space="0" w:color="auto"/>
              <w:right w:val="single" w:sz="4" w:space="0" w:color="auto"/>
            </w:tcBorders>
          </w:tcPr>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1 Жұмысқа қабілетті жағдайды орнатудың орташа уақыты</w:t>
            </w: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p>
        </w:tc>
        <w:tc>
          <w:tcPr>
            <w:tcW w:w="1907" w:type="dxa"/>
            <w:tcBorders>
              <w:top w:val="single" w:sz="4" w:space="0" w:color="auto"/>
              <w:left w:val="single" w:sz="4" w:space="0" w:color="auto"/>
              <w:bottom w:val="single" w:sz="4" w:space="0" w:color="auto"/>
              <w:right w:val="single" w:sz="4" w:space="0" w:color="auto"/>
            </w:tcBorders>
          </w:tcPr>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Сағаттар, минуттар</w:t>
            </w:r>
          </w:p>
        </w:tc>
        <w:tc>
          <w:tcPr>
            <w:tcW w:w="3249" w:type="dxa"/>
            <w:tcBorders>
              <w:top w:val="single" w:sz="4" w:space="0" w:color="auto"/>
              <w:left w:val="single" w:sz="4" w:space="0" w:color="auto"/>
              <w:bottom w:val="single" w:sz="4" w:space="0" w:color="auto"/>
              <w:right w:val="single" w:sz="4" w:space="0" w:color="auto"/>
            </w:tcBorders>
          </w:tcPr>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Жұмысқа қабілетті орнату уақытының шығындарын сипаттайды, бір қабыл алмауға келетін.</w:t>
            </w:r>
          </w:p>
        </w:tc>
      </w:tr>
      <w:tr w:rsidR="00610D7C" w:rsidRPr="00610D7C" w:rsidTr="009B3C02">
        <w:tblPrEx>
          <w:tblCellMar>
            <w:top w:w="0" w:type="dxa"/>
            <w:bottom w:w="0" w:type="dxa"/>
          </w:tblCellMar>
        </w:tblPrEx>
        <w:trPr>
          <w:cantSplit/>
        </w:trPr>
        <w:tc>
          <w:tcPr>
            <w:tcW w:w="4132" w:type="dxa"/>
            <w:tcBorders>
              <w:top w:val="single" w:sz="4" w:space="0" w:color="auto"/>
              <w:left w:val="single" w:sz="4" w:space="0" w:color="auto"/>
              <w:bottom w:val="single" w:sz="4" w:space="0" w:color="auto"/>
              <w:right w:val="single" w:sz="4" w:space="0" w:color="auto"/>
            </w:tcBorders>
          </w:tcPr>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2 Жөндеуге қызмет көрсетудің қосынды салыстырмалы ұзақтылығы</w:t>
            </w:r>
          </w:p>
        </w:tc>
        <w:tc>
          <w:tcPr>
            <w:tcW w:w="1907" w:type="dxa"/>
            <w:tcBorders>
              <w:top w:val="single" w:sz="4" w:space="0" w:color="auto"/>
              <w:left w:val="single" w:sz="4" w:space="0" w:color="auto"/>
              <w:bottom w:val="single" w:sz="4" w:space="0" w:color="auto"/>
              <w:right w:val="single" w:sz="4" w:space="0" w:color="auto"/>
            </w:tcBorders>
          </w:tcPr>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Сағ.(мин)</w:t>
            </w:r>
          </w:p>
        </w:tc>
        <w:tc>
          <w:tcPr>
            <w:tcW w:w="3249" w:type="dxa"/>
            <w:vMerge w:val="restart"/>
            <w:tcBorders>
              <w:top w:val="single" w:sz="4" w:space="0" w:color="auto"/>
              <w:left w:val="single" w:sz="4" w:space="0" w:color="auto"/>
              <w:bottom w:val="single" w:sz="4" w:space="0" w:color="auto"/>
              <w:right w:val="single" w:sz="4" w:space="0" w:color="auto"/>
            </w:tcBorders>
          </w:tcPr>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Істеу бірлігіне келетін техникалық қызмет көрсету мен жөндеуді өткізудегі уақыт шығынын сипаттайды.</w:t>
            </w:r>
          </w:p>
        </w:tc>
      </w:tr>
      <w:tr w:rsidR="00610D7C" w:rsidRPr="00610D7C" w:rsidTr="009B3C02">
        <w:tblPrEx>
          <w:tblCellMar>
            <w:top w:w="0" w:type="dxa"/>
            <w:bottom w:w="0" w:type="dxa"/>
          </w:tblCellMar>
        </w:tblPrEx>
        <w:trPr>
          <w:cantSplit/>
        </w:trPr>
        <w:tc>
          <w:tcPr>
            <w:tcW w:w="4132" w:type="dxa"/>
            <w:tcBorders>
              <w:top w:val="single" w:sz="4" w:space="0" w:color="auto"/>
              <w:left w:val="single" w:sz="4" w:space="0" w:color="auto"/>
              <w:bottom w:val="single" w:sz="4" w:space="0" w:color="auto"/>
              <w:right w:val="single" w:sz="4" w:space="0" w:color="auto"/>
            </w:tcBorders>
          </w:tcPr>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 xml:space="preserve">3 Техникалық қызмет көрсету мен жөндеудің қосынды салыстырмалы еңбек сіңіруді керек қылушылық. </w:t>
            </w:r>
          </w:p>
        </w:tc>
        <w:tc>
          <w:tcPr>
            <w:tcW w:w="1907" w:type="dxa"/>
            <w:tcBorders>
              <w:top w:val="single" w:sz="4" w:space="0" w:color="auto"/>
              <w:left w:val="single" w:sz="4" w:space="0" w:color="auto"/>
              <w:bottom w:val="single" w:sz="4" w:space="0" w:color="auto"/>
              <w:right w:val="single" w:sz="4" w:space="0" w:color="auto"/>
            </w:tcBorders>
          </w:tcPr>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Сағ.(мин)</w:t>
            </w:r>
          </w:p>
        </w:tc>
        <w:tc>
          <w:tcPr>
            <w:tcW w:w="3249" w:type="dxa"/>
            <w:vMerge/>
            <w:tcBorders>
              <w:top w:val="single" w:sz="4" w:space="0" w:color="auto"/>
              <w:left w:val="single" w:sz="4" w:space="0" w:color="auto"/>
              <w:bottom w:val="single" w:sz="4" w:space="0" w:color="auto"/>
              <w:right w:val="single" w:sz="4" w:space="0" w:color="auto"/>
            </w:tcBorders>
            <w:vAlign w:val="center"/>
          </w:tcPr>
          <w:p w:rsidR="00610D7C" w:rsidRPr="00610D7C" w:rsidRDefault="00610D7C" w:rsidP="00610D7C">
            <w:pPr>
              <w:spacing w:after="0" w:line="240" w:lineRule="auto"/>
              <w:rPr>
                <w:rFonts w:ascii="KZ Times New Roman" w:eastAsia="Times New Roman" w:hAnsi="KZ Times New Roman" w:cs="Times New Roman"/>
                <w:sz w:val="28"/>
                <w:szCs w:val="24"/>
                <w:lang w:val="ru-MD" w:eastAsia="ru-RU"/>
              </w:rPr>
            </w:pPr>
          </w:p>
        </w:tc>
      </w:tr>
    </w:tbl>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Сақталу көрсеткіші автомобиль құрылысы үшін жоғарыда қарастырылған сенімділік көрсеткіштеріне қарағанда бірнеше мәнге аз.</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2.2 Жол жасауда сенімділікті бағалау.</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Автомобиль жолының сенімділігін бағалауға комплекстік көлік ғимараттары сияқты әдістемелік ыңғай үлкен мән береді. Мұнда мынаны білуің керек, автомобиль жолына жүру бөлігін және оны қайта құрып салу, құрылыс және әртүрлі элементтерді қосады.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Жол жасаудағы сенімділікті бағалауда автомобиль жолына ғана тиісті кейбір ерекшеліктерін санау керек. Ең алдымен, жолдың әртүрлі учаскелері түрлі жүктелген: жоғары категориялы жолдың жылдық жүк айналымы қалған жолдарға қарағанда бірнеше рет үлкен.</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Жолда қозғалу қарқындылығы уақыт бойынша кенет бір қалыпты  емес. Жылдамдыққа шек қоюдың маңыздылығына жергілікті өзгешелік болады және оның жеке учаскелерімен жолда шектеу – дау-жанжал зонасы (адамдардың кейбір жерлерде жиналып қалуы; кей жерлерде басып озу және қозғалу тілмегінің ауысуы; қиылысулар; көлік ағынының тармақтануы мен ағып келіп қосылуы; кейбір жерлерде автомобильдердің құрылуы және т.б).</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b/>
          <w:sz w:val="28"/>
          <w:szCs w:val="24"/>
          <w:lang w:val="ru-MD" w:eastAsia="ru-RU"/>
        </w:rPr>
        <w:t xml:space="preserve">Автомобиль жолдарының сенімділігі </w:t>
      </w:r>
      <w:r w:rsidRPr="00610D7C">
        <w:rPr>
          <w:rFonts w:ascii="KZ Times New Roman" w:eastAsia="Times New Roman" w:hAnsi="KZ Times New Roman" w:cs="Times New Roman"/>
          <w:sz w:val="28"/>
          <w:szCs w:val="24"/>
          <w:lang w:val="ru-MD" w:eastAsia="ru-RU"/>
        </w:rPr>
        <w:t>– оның қабілеті орташа жылдамдықпен қозғалысқа есеп беретін қауіпсіздікті қамтамасыз ету, нормативті және берілген қызмет ету мерзімі ағымында үйлесімділікке жақын.</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Жол үшін, және де автомобиль үшін «қабыл алмау» түсінігіне өте үлкен мән береді. Автомобиль жолында қабыл алмаудың әртүрлі түрлеріне сәйкес жағдайлар туады. Қабыл алмаудың түрлері: бірен-саран немесе жалпы (толық), біртіндеп немесе кенет.</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Егер жол жамылғысын, көпірді, жол құрылысын жөндеу қажеттілігінде, егер сол немесе басқа учаскелерде қозғалу жылдамдылығы рұқсат етілмеген мөлшерде төмендетілсе онда ол бірен-саран қабыл алмау.</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lastRenderedPageBreak/>
        <w:t>Егер жолдың жұмысқа қабілеттілігі біртіндеп төмендетілсе, мысалы жол жамылғысы бұзылса, жолдың микрокөрінісі нашарлайды, ал онымен бірге автомобильдің қозғалыс жатықтығы, қозғалыс жылдамдығы мен өткізу қабілеті түседі, онда біртіндеу басталады, бұл автомобиль жолының типті қабыл алмау түрі.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Автомобиль жолының толық қабыл алмауы салыстырмалы сирек басталады және әртүрлі себептермен болады, мысалы стихиялық апаттылықтармен, апатты қиратулар. Автомобиль жолдарының толық қабыл алмауын түсіндіретін оның жағдайы, онда орташа жылдамдықпен қозғалысқа есеп беретін қауіпсіздікті қамтамасыз етпейді. Мұнда мынаны білу керек, жол үшін жалпы немесе жеке аралықта орташа жылдамдықты анықтауды қозғалыс уақыты мен жол жағдайы бойынша уақытты кетіру есептелінеді.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Автомобиль жолы қауіпсіздік, шыдам мерзім, жөндеуге жарамдылық және сақталу талаптарын қанағаттандыру керек.</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Автомобиль жолына қатысты қауіпсіздіктің негізгі жағдайында әртүрлі  учаскелері автомобиль жылдамдығы мүмкіндігінше аз болып өзгеріп тұрады.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b/>
          <w:sz w:val="28"/>
          <w:szCs w:val="24"/>
          <w:lang w:val="ru-MD" w:eastAsia="ru-RU"/>
        </w:rPr>
        <w:t>Жолдың қауіпсіздігі</w:t>
      </w:r>
      <w:r w:rsidRPr="00610D7C">
        <w:rPr>
          <w:rFonts w:ascii="KZ Times New Roman" w:eastAsia="Times New Roman" w:hAnsi="KZ Times New Roman" w:cs="Times New Roman"/>
          <w:sz w:val="28"/>
          <w:szCs w:val="24"/>
          <w:lang w:val="ru-MD" w:eastAsia="ru-RU"/>
        </w:rPr>
        <w:t xml:space="preserve"> – тура және жанама факторлармен байланысты қаматмасыз етіледі. Тура факторлар – ол жолдың жүру бөлігін және жол жағасын, шекті еңіс, жоспардағы қисықтар элементтерін қаматмасыз ететін, шекті қозғалу жылдамдығы анықтайтын қымбат тұратын және көп еңбекті құрылыстық жұмыстар. Жанама факторлар – қозғалысты ұйымдастыру бойынша шаралар. Ол анағұрлым қымбат тұрмайды.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2.3 Жүргізушінің әрекетінің сенімділігін бағалау.</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b/>
          <w:sz w:val="28"/>
          <w:szCs w:val="24"/>
          <w:lang w:val="ru-MD" w:eastAsia="ru-RU"/>
        </w:rPr>
        <w:t xml:space="preserve">Жүргізушінің сенімділігі </w:t>
      </w:r>
      <w:r w:rsidRPr="00610D7C">
        <w:rPr>
          <w:rFonts w:ascii="KZ Times New Roman" w:eastAsia="Times New Roman" w:hAnsi="KZ Times New Roman" w:cs="Times New Roman"/>
          <w:sz w:val="28"/>
          <w:szCs w:val="24"/>
          <w:lang w:val="ru-MD" w:eastAsia="ru-RU"/>
        </w:rPr>
        <w:t>– қозғалыс қауіпсіздігін қамтамасыз етеін және қозғалу тәртібіне және автомобильді пайдалану жағдайына сәйкес шекті жұмыс істеуде пармаетрлерді сақтау қасиеті.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Жүргізушінің сенімділігі – ол күрделі қасиет, ол  қарапайым кідіріссіздікті, қалпына келтіру, ұзақ мерзімді кәсіпшілік және сақтауды анықтайды.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b/>
          <w:sz w:val="28"/>
          <w:szCs w:val="24"/>
          <w:lang w:val="ru-MD" w:eastAsia="ru-RU"/>
        </w:rPr>
        <w:t xml:space="preserve">Жүргізушінің кідіріссіздігі </w:t>
      </w:r>
      <w:r w:rsidRPr="00610D7C">
        <w:rPr>
          <w:rFonts w:ascii="KZ Times New Roman" w:eastAsia="Times New Roman" w:hAnsi="KZ Times New Roman" w:cs="Times New Roman"/>
          <w:sz w:val="28"/>
          <w:szCs w:val="24"/>
          <w:lang w:val="ru-MD" w:eastAsia="ru-RU"/>
        </w:rPr>
        <w:t>– сағатпен шығарылған жұмыс уақытының мөлшерінде шекті қойылған жұмыс істеу қабілетін сақтау қасиеті.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b/>
          <w:sz w:val="28"/>
          <w:szCs w:val="24"/>
          <w:lang w:val="ru-MD" w:eastAsia="ru-RU"/>
        </w:rPr>
        <w:t>Қалпына келтіру</w:t>
      </w:r>
      <w:r w:rsidRPr="00610D7C">
        <w:rPr>
          <w:rFonts w:ascii="KZ Times New Roman" w:eastAsia="Times New Roman" w:hAnsi="KZ Times New Roman" w:cs="Times New Roman"/>
          <w:sz w:val="28"/>
          <w:szCs w:val="24"/>
          <w:lang w:val="ru-MD" w:eastAsia="ru-RU"/>
        </w:rPr>
        <w:t xml:space="preserve"> - әрекеттегі қойылған үзілістен кейін өзінің жұмыс істеу қабілетін қалпына келтірудегі жүргізушінің қасиеті.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b/>
          <w:sz w:val="28"/>
          <w:szCs w:val="24"/>
          <w:lang w:val="ru-MD" w:eastAsia="ru-RU"/>
        </w:rPr>
        <w:t>Ұзақ мерзімді кәсіпшілік</w:t>
      </w:r>
      <w:r w:rsidRPr="00610D7C">
        <w:rPr>
          <w:rFonts w:ascii="KZ Times New Roman" w:eastAsia="Times New Roman" w:hAnsi="KZ Times New Roman" w:cs="Times New Roman"/>
          <w:sz w:val="28"/>
          <w:szCs w:val="24"/>
          <w:lang w:val="ru-MD" w:eastAsia="ru-RU"/>
        </w:rPr>
        <w:t xml:space="preserve"> – қажетті үзілістермен, демалыс жағдайларын ескерту, еңбектік әрекеттермен шекті жағдайлар ( зейнетке шығу, басқа жұмысқа ауысу) басталуға дейінгі жұмыс істеу қабілетін сақтауда жүргізушінің қасиеті.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b/>
          <w:sz w:val="28"/>
          <w:szCs w:val="24"/>
          <w:lang w:val="ru-MD" w:eastAsia="ru-RU"/>
        </w:rPr>
        <w:t>Сақталу</w:t>
      </w:r>
      <w:r w:rsidRPr="00610D7C">
        <w:rPr>
          <w:rFonts w:ascii="KZ Times New Roman" w:eastAsia="Times New Roman" w:hAnsi="KZ Times New Roman" w:cs="Times New Roman"/>
          <w:sz w:val="28"/>
          <w:szCs w:val="24"/>
          <w:lang w:val="ru-MD" w:eastAsia="ru-RU"/>
        </w:rPr>
        <w:t xml:space="preserve"> – еңбек қызметінде ұзақ үзілістен кейін жұмыс істеу параметрлерін сақтауда жүргізушінің қасиеті.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2.4 Жүргізушінің кідіріссіздігін бағалау.</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lastRenderedPageBreak/>
        <w:t>Жұмыс күні ішінде жүргізушінің өзгеруін талдайық. Сірә, жүргізушінің жұмыс істеу ықтималдығының қисығы кему функциясы. Жүргізушінің жұмыс істеу соңына қарағанда жұмыс істеуде күннің басында жоғары ықтималды кідіріссіз істейді. Егер жұмыс кідіріссіздігінің ықтималдығының мүмкіндік деңгей мөлшері орнатылса, онда сурет – 7 көрсетілген қисықты пайдалануға болады. Мұнда 2 жағдай болуы мүмкін. Бірінші жағдай, жұмыс уақытының соңындағы жұмыс кідіріссіздік ықтималдығы мүмкіндік ықтималдықтан жоғары болса, онда ол жүргізушінің кідіріссіздігі жеткілікті.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noProof/>
          <w:sz w:val="28"/>
          <w:szCs w:val="24"/>
          <w:lang w:eastAsia="ru-RU"/>
        </w:rPr>
        <mc:AlternateContent>
          <mc:Choice Requires="wps">
            <w:drawing>
              <wp:anchor distT="0" distB="0" distL="114300" distR="114300" simplePos="0" relativeHeight="251659264" behindDoc="0" locked="0" layoutInCell="0" allowOverlap="1">
                <wp:simplePos x="0" y="0"/>
                <wp:positionH relativeFrom="page">
                  <wp:posOffset>800100</wp:posOffset>
                </wp:positionH>
                <wp:positionV relativeFrom="paragraph">
                  <wp:posOffset>36830</wp:posOffset>
                </wp:positionV>
                <wp:extent cx="0" cy="1257300"/>
                <wp:effectExtent l="9525" t="6985" r="9525" b="12065"/>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2533CA" id="Прямая соединительная линия 1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3pt,2.9pt" to="63pt,10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" o:allowincell="f">
                <w10:wrap anchorx="page"/>
              </v:line>
            </w:pict>
          </mc:Fallback>
        </mc:AlternateContent>
      </w:r>
    </w:p>
    <w:p w:rsidR="00610D7C" w:rsidRPr="00610D7C" w:rsidRDefault="00610D7C" w:rsidP="00610D7C">
      <w:pPr>
        <w:spacing w:after="0" w:line="240" w:lineRule="auto"/>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 xml:space="preserve">                                                           </w:t>
      </w:r>
      <w:r w:rsidRPr="00610D7C">
        <w:rPr>
          <w:rFonts w:ascii="KZ Times New Roman" w:eastAsia="Times New Roman" w:hAnsi="KZ Times New Roman" w:cs="Times New Roman"/>
          <w:sz w:val="28"/>
          <w:szCs w:val="24"/>
          <w:lang w:val="en-US" w:eastAsia="ru-RU"/>
        </w:rPr>
        <w:t>P</w:t>
      </w:r>
      <w:r w:rsidRPr="00610D7C">
        <w:rPr>
          <w:rFonts w:ascii="KZ Times New Roman" w:eastAsia="Times New Roman" w:hAnsi="KZ Times New Roman" w:cs="Times New Roman"/>
          <w:sz w:val="28"/>
          <w:szCs w:val="24"/>
          <w:lang w:val="ru-MD" w:eastAsia="ru-RU"/>
        </w:rPr>
        <w:t>вк&gt;[</w:t>
      </w:r>
      <w:r w:rsidRPr="00610D7C">
        <w:rPr>
          <w:rFonts w:ascii="KZ Times New Roman" w:eastAsia="Times New Roman" w:hAnsi="KZ Times New Roman" w:cs="Times New Roman"/>
          <w:sz w:val="28"/>
          <w:szCs w:val="24"/>
          <w:lang w:val="en-US" w:eastAsia="ru-RU"/>
        </w:rPr>
        <w:t>P</w:t>
      </w:r>
      <w:r w:rsidRPr="00610D7C">
        <w:rPr>
          <w:rFonts w:ascii="KZ Times New Roman" w:eastAsia="Times New Roman" w:hAnsi="KZ Times New Roman" w:cs="Times New Roman"/>
          <w:sz w:val="28"/>
          <w:szCs w:val="24"/>
          <w:lang w:val="ru-MD" w:eastAsia="ru-RU"/>
        </w:rPr>
        <w:t>в]</w:t>
      </w:r>
    </w:p>
    <w:p w:rsidR="00610D7C" w:rsidRPr="00610D7C" w:rsidRDefault="00610D7C" w:rsidP="00610D7C">
      <w:pPr>
        <w:tabs>
          <w:tab w:val="left" w:pos="2790"/>
        </w:tabs>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noProof/>
          <w:sz w:val="28"/>
          <w:szCs w:val="24"/>
          <w:lang w:eastAsia="ru-RU"/>
        </w:rPr>
        <mc:AlternateContent>
          <mc:Choice Requires="wps">
            <w:drawing>
              <wp:anchor distT="0" distB="0" distL="114300" distR="114300" simplePos="0" relativeHeight="251662336" behindDoc="0" locked="0" layoutInCell="0" allowOverlap="1">
                <wp:simplePos x="0" y="0"/>
                <wp:positionH relativeFrom="page">
                  <wp:posOffset>2057400</wp:posOffset>
                </wp:positionH>
                <wp:positionV relativeFrom="paragraph">
                  <wp:posOffset>151130</wp:posOffset>
                </wp:positionV>
                <wp:extent cx="0" cy="685800"/>
                <wp:effectExtent l="9525" t="6350" r="9525" b="1270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DB998D" id="Прямая соединительная линия 11" o:spid="_x0000_s1026" style="position:absolute;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62pt,11.9pt" to="162pt,6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" o:allowincell="f">
                <w10:wrap anchorx="page"/>
              </v:line>
            </w:pict>
          </mc:Fallback>
        </mc:AlternateContent>
      </w:r>
      <w:r w:rsidRPr="00610D7C">
        <w:rPr>
          <w:rFonts w:ascii="KZ Times New Roman" w:eastAsia="Times New Roman" w:hAnsi="KZ Times New Roman" w:cs="Times New Roman"/>
          <w:noProof/>
          <w:sz w:val="28"/>
          <w:szCs w:val="24"/>
          <w:lang w:eastAsia="ru-RU"/>
        </w:rPr>
        <mc:AlternateContent>
          <mc:Choice Requires="wps">
            <w:drawing>
              <wp:anchor distT="0" distB="0" distL="114300" distR="114300" simplePos="0" relativeHeight="251661312" behindDoc="0" locked="0" layoutInCell="0" allowOverlap="1">
                <wp:simplePos x="0" y="0"/>
                <wp:positionH relativeFrom="page">
                  <wp:posOffset>800100</wp:posOffset>
                </wp:positionH>
                <wp:positionV relativeFrom="paragraph">
                  <wp:posOffset>151130</wp:posOffset>
                </wp:positionV>
                <wp:extent cx="1257300" cy="0"/>
                <wp:effectExtent l="9525" t="6350" r="9525" b="1270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27FDCD" id="Прямая соединительная линия 10"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3pt,11.9pt" to="162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" o:allowincell="f">
                <w10:wrap anchorx="page"/>
              </v:line>
            </w:pict>
          </mc:Fallback>
        </mc:AlternateContent>
      </w:r>
      <w:r w:rsidRPr="00610D7C">
        <w:rPr>
          <w:rFonts w:ascii="KZ Times New Roman" w:eastAsia="Times New Roman" w:hAnsi="KZ Times New Roman" w:cs="Times New Roman"/>
          <w:sz w:val="28"/>
          <w:szCs w:val="24"/>
          <w:lang w:val="ru-MD" w:eastAsia="ru-RU"/>
        </w:rPr>
        <w:tab/>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noProof/>
          <w:sz w:val="28"/>
          <w:szCs w:val="24"/>
          <w:lang w:eastAsia="ru-RU"/>
        </w:rPr>
        <mc:AlternateContent>
          <mc:Choice Requires="wps">
            <w:drawing>
              <wp:anchor distT="0" distB="0" distL="114300" distR="114300" simplePos="0" relativeHeight="251663360" behindDoc="0" locked="0" layoutInCell="0" allowOverlap="1">
                <wp:simplePos x="0" y="0"/>
                <wp:positionH relativeFrom="page">
                  <wp:posOffset>800100</wp:posOffset>
                </wp:positionH>
                <wp:positionV relativeFrom="paragraph">
                  <wp:posOffset>85090</wp:posOffset>
                </wp:positionV>
                <wp:extent cx="1828800" cy="0"/>
                <wp:effectExtent l="9525" t="6350" r="9525" b="1270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D7AE1F" id="Прямая соединительная линия 9"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3pt,6.7pt" to="207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" o:allowincell="f">
                <w10:wrap anchorx="page"/>
              </v:line>
            </w:pict>
          </mc:Fallback>
        </mc:AlternateContent>
      </w:r>
    </w:p>
    <w:p w:rsidR="00610D7C" w:rsidRPr="00610D7C" w:rsidRDefault="00610D7C" w:rsidP="00610D7C">
      <w:pPr>
        <w:spacing w:after="0" w:line="240" w:lineRule="auto"/>
        <w:ind w:firstLine="900"/>
        <w:jc w:val="both"/>
        <w:rPr>
          <w:rFonts w:ascii="KZ Times New Roman" w:eastAsia="Times New Roman" w:hAnsi="KZ Times New Roman" w:cs="Times New Roman"/>
          <w:b/>
          <w:sz w:val="28"/>
          <w:szCs w:val="24"/>
          <w:lang w:val="ru-MD" w:eastAsia="ru-RU"/>
        </w:rPr>
      </w:pPr>
      <w:r w:rsidRPr="00610D7C">
        <w:rPr>
          <w:rFonts w:ascii="KZ Times New Roman" w:eastAsia="Times New Roman" w:hAnsi="KZ Times New Roman" w:cs="Times New Roman"/>
          <w:b/>
          <w:sz w:val="28"/>
          <w:szCs w:val="24"/>
          <w:lang w:val="ru-MD" w:eastAsia="ru-RU"/>
        </w:rPr>
        <w:t xml:space="preserve"> </w:t>
      </w:r>
    </w:p>
    <w:p w:rsidR="00610D7C" w:rsidRPr="00610D7C" w:rsidRDefault="00610D7C" w:rsidP="00610D7C">
      <w:pPr>
        <w:spacing w:after="0" w:line="240" w:lineRule="auto"/>
        <w:ind w:firstLine="900"/>
        <w:jc w:val="both"/>
        <w:rPr>
          <w:rFonts w:ascii="KZ Times New Roman" w:eastAsia="Times New Roman" w:hAnsi="KZ Times New Roman" w:cs="Times New Roman"/>
          <w:b/>
          <w:sz w:val="28"/>
          <w:szCs w:val="24"/>
          <w:lang w:val="ru-MD" w:eastAsia="ru-RU"/>
        </w:rPr>
      </w:pPr>
      <w:r w:rsidRPr="00610D7C">
        <w:rPr>
          <w:rFonts w:ascii="KZ Times New Roman" w:eastAsia="Times New Roman" w:hAnsi="KZ Times New Roman" w:cs="Times New Roman"/>
          <w:noProof/>
          <w:sz w:val="28"/>
          <w:szCs w:val="24"/>
          <w:lang w:eastAsia="ru-RU"/>
        </w:rPr>
        <mc:AlternateContent>
          <mc:Choice Requires="wps">
            <w:drawing>
              <wp:anchor distT="0" distB="0" distL="114300" distR="114300" simplePos="0" relativeHeight="251660288" behindDoc="0" locked="0" layoutInCell="0" allowOverlap="1">
                <wp:simplePos x="0" y="0"/>
                <wp:positionH relativeFrom="page">
                  <wp:posOffset>800100</wp:posOffset>
                </wp:positionH>
                <wp:positionV relativeFrom="paragraph">
                  <wp:posOffset>19050</wp:posOffset>
                </wp:positionV>
                <wp:extent cx="1828800" cy="0"/>
                <wp:effectExtent l="9525" t="6350" r="9525" b="1270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6FEFD8" id="Прямая соединительная линия 8"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3pt,1.5pt" to="207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" o:allowincell="f">
                <w10:wrap anchorx="page"/>
              </v:line>
            </w:pict>
          </mc:Fallback>
        </mc:AlternateContent>
      </w:r>
    </w:p>
    <w:p w:rsidR="00610D7C" w:rsidRPr="00610D7C" w:rsidRDefault="00610D7C" w:rsidP="00610D7C">
      <w:pPr>
        <w:spacing w:after="0" w:line="240" w:lineRule="auto"/>
        <w:jc w:val="both"/>
        <w:rPr>
          <w:rFonts w:ascii="KZ Times New Roman" w:eastAsia="Times New Roman" w:hAnsi="KZ Times New Roman" w:cs="Times New Roman"/>
          <w:b/>
          <w:sz w:val="28"/>
          <w:szCs w:val="24"/>
          <w:lang w:val="ru-MD" w:eastAsia="ru-RU"/>
        </w:rPr>
      </w:pPr>
    </w:p>
    <w:p w:rsidR="00610D7C" w:rsidRPr="00610D7C" w:rsidRDefault="00610D7C" w:rsidP="00610D7C">
      <w:pPr>
        <w:keepNext/>
        <w:spacing w:after="0" w:line="240" w:lineRule="auto"/>
        <w:jc w:val="both"/>
        <w:outlineLvl w:val="1"/>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Сурет – 7 Жұмыс күні ішінде жүргізушінің жұмыс кідіріссіздігінің ықтималдығының өзгеруі.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Тәжірибенің нәтижесі бойынша жүргізушінің ағзасында жұмыстың бірінші 1,5-2,5 сағатында «өңдеу» болады, сонан кейін өте жоғары деңгейде жұмысқа қабілеттілік басталады. Дәлме-дәл айтқанда, жүргізушінің жұмыс кідіріссіздік ықтималдығының өңделу мезгілі төмендеген жүргізушілер өзінің жұмысқа қабілеттілік деңгейіндұрыс бағаламауы және қауіпті бұрылыс істеу мүмкін. Содан кейін жұмысқа қабілеттіліктің төмендеуінің бірінші белгілері 4-5 сағаттан кейін пайда болады және біртіндеп жоғарылайды, 6-8 сағат жұмыстан кейін айтарлықтай болады. Ағзаның компенсаторлық механизмінің арқасында жұмыс қабілеттілік белгілі деңгейі жұмыстың 9-10 сағатына дейін үзбей отырады. Осыдан кейін ағзаның компенсаторлы мүмкіндігі таусылады, және қозғалыс қауіпсіздігінің көзқарасы бойынша жарамайтын деңгейге дейін жұмысқа қабілеттілігі тез төмендейді. Бұл жалпы жүйенің мына себептерімен байланыста түрі өзгереді: Жас шамасы және денсаулық жағдайы, жұмыс пен дем алудың кезектілігі, көлік құралының түрі, автомобиль рулінде нақты болуы.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keepNext/>
        <w:spacing w:after="0" w:line="240" w:lineRule="auto"/>
        <w:jc w:val="both"/>
        <w:outlineLvl w:val="3"/>
        <w:rPr>
          <w:rFonts w:ascii="KZ Times New Roman" w:eastAsia="Times New Roman" w:hAnsi="KZ Times New Roman" w:cs="Times New Roman"/>
          <w:b/>
          <w:bCs/>
          <w:sz w:val="28"/>
          <w:szCs w:val="24"/>
          <w:lang w:val="ru-MD" w:eastAsia="ru-RU"/>
        </w:rPr>
      </w:pPr>
      <w:r w:rsidRPr="00610D7C">
        <w:rPr>
          <w:rFonts w:ascii="KZ Times New Roman" w:eastAsia="Times New Roman" w:hAnsi="KZ Times New Roman" w:cs="Times New Roman"/>
          <w:b/>
          <w:bCs/>
          <w:sz w:val="28"/>
          <w:szCs w:val="24"/>
          <w:lang w:val="ru-MD" w:eastAsia="ru-RU"/>
        </w:rPr>
        <w:t>Жүргізушінің қалыптасуы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Қалыптасу кәсіпшіл жүргізушінің қызметінде сенімділігін қамтамасыз етуіне үлкен мән береді.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 xml:space="preserve">Жүргізушілердің айтарлықтай бөлігі ылғи артық жұмыс істейді, яғни тәулігіне 10-12 сағаттан артық істейді. Егер осыған қоса өзінің автомобильдерінің күнделікті қызмет етуі бар, яғни жолға шығатын уақыты, сонда түсінікті, жүргізушінің ұйқысы мен дем алуға уақыт жетпей қалады. Олқы демалыс келесі демалыс күніндегі жүргізушінің қауіпсіздік деңгейін </w:t>
      </w:r>
      <w:r w:rsidRPr="00610D7C">
        <w:rPr>
          <w:rFonts w:ascii="KZ Times New Roman" w:eastAsia="Times New Roman" w:hAnsi="KZ Times New Roman" w:cs="Times New Roman"/>
          <w:sz w:val="28"/>
          <w:szCs w:val="24"/>
          <w:lang w:val="ru-MD" w:eastAsia="ru-RU"/>
        </w:rPr>
        <w:lastRenderedPageBreak/>
        <w:t>айтады. Демалыс күні олқы (дұрыс емес) демалған жүргізушілердің ЖКО саны жақсы демалған, өздерін жақсы сезінген жүргізушілерден қарағанда 41% жоғары болған. Тағы бір айтатын жағдай, жүргізушілердің 60% қажығандығымен автомобильді басқарғанда 3,5 сағаттан соң ұйықтап кетеді.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Кәсіпшіл жүргізушінің бір аптадағы жұмыс қабілеттілігін қалыптастыру деңгейін тексеру үшін жұмыс кідіріссіздігінің ықтималдығының өзгеру қисығы көрсетілген.</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noProof/>
          <w:sz w:val="28"/>
          <w:szCs w:val="24"/>
          <w:lang w:eastAsia="ru-RU"/>
        </w:rPr>
        <mc:AlternateContent>
          <mc:Choice Requires="wps">
            <w:drawing>
              <wp:anchor distT="0" distB="0" distL="114300" distR="114300" simplePos="0" relativeHeight="251664384" behindDoc="0" locked="0" layoutInCell="0" allowOverlap="1">
                <wp:simplePos x="0" y="0"/>
                <wp:positionH relativeFrom="page">
                  <wp:posOffset>1028700</wp:posOffset>
                </wp:positionH>
                <wp:positionV relativeFrom="paragraph">
                  <wp:posOffset>144780</wp:posOffset>
                </wp:positionV>
                <wp:extent cx="0" cy="1828800"/>
                <wp:effectExtent l="9525" t="5715" r="9525" b="1333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6D48C9" id="Прямая соединительная линия 7" o:spid="_x0000_s1026" style="position:absolute;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1pt,11.4pt" to="81pt,15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" o:allowincell="f">
                <w10:wrap anchorx="page"/>
              </v:line>
            </w:pict>
          </mc:Fallback>
        </mc:AlternateContent>
      </w:r>
      <w:r w:rsidRPr="00610D7C">
        <w:rPr>
          <w:rFonts w:ascii="KZ Times New Roman" w:eastAsia="Times New Roman" w:hAnsi="KZ Times New Roman" w:cs="Times New Roman"/>
          <w:noProof/>
          <w:sz w:val="28"/>
          <w:szCs w:val="24"/>
          <w:lang w:eastAsia="ru-RU"/>
        </w:rPr>
        <mc:AlternateContent>
          <mc:Choice Requires="wps">
            <w:drawing>
              <wp:anchor distT="0" distB="0" distL="114300" distR="114300" simplePos="0" relativeHeight="251665408" behindDoc="0" locked="0" layoutInCell="0" allowOverlap="1">
                <wp:simplePos x="0" y="0"/>
                <wp:positionH relativeFrom="page">
                  <wp:posOffset>1028700</wp:posOffset>
                </wp:positionH>
                <wp:positionV relativeFrom="paragraph">
                  <wp:posOffset>1933575</wp:posOffset>
                </wp:positionV>
                <wp:extent cx="4343400" cy="0"/>
                <wp:effectExtent l="9525" t="13335" r="9525" b="571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78EBA2" id="Прямая соединительная линия 6"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1pt,152.25pt" to="423pt,15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" o:allowincell="f">
                <w10:wrap anchorx="page"/>
              </v:line>
            </w:pict>
          </mc:Fallback>
        </mc:AlternateContent>
      </w:r>
      <w:r w:rsidRPr="00610D7C">
        <w:rPr>
          <w:rFonts w:ascii="KZ Times New Roman" w:eastAsia="Times New Roman" w:hAnsi="KZ Times New Roman" w:cs="Times New Roman"/>
          <w:noProof/>
          <w:sz w:val="28"/>
          <w:szCs w:val="24"/>
          <w:lang w:eastAsia="ru-RU"/>
        </w:rPr>
        <mc:AlternateContent>
          <mc:Choice Requires="wps">
            <w:drawing>
              <wp:anchor distT="0" distB="0" distL="114300" distR="114300" simplePos="0" relativeHeight="251666432" behindDoc="0" locked="0" layoutInCell="0" allowOverlap="1">
                <wp:simplePos x="0" y="0"/>
                <wp:positionH relativeFrom="page">
                  <wp:posOffset>1028700</wp:posOffset>
                </wp:positionH>
                <wp:positionV relativeFrom="paragraph">
                  <wp:posOffset>1485265</wp:posOffset>
                </wp:positionV>
                <wp:extent cx="4343400" cy="0"/>
                <wp:effectExtent l="9525" t="12700" r="9525" b="635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E163A7" id="Прямая соединительная линия 5" o:spid="_x0000_s1026" style="position:absolute;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1pt,116.95pt" to="423pt,1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" o:allowincell="f">
                <w10:wrap anchorx="page"/>
              </v:line>
            </w:pict>
          </mc:Fallback>
        </mc:AlternateContent>
      </w:r>
      <w:r w:rsidRPr="00610D7C">
        <w:rPr>
          <w:rFonts w:ascii="KZ Times New Roman" w:eastAsia="Times New Roman" w:hAnsi="KZ Times New Roman" w:cs="Times New Roman"/>
          <w:noProof/>
          <w:sz w:val="28"/>
          <w:szCs w:val="24"/>
          <w:lang w:eastAsia="ru-RU"/>
        </w:rPr>
        <mc:AlternateContent>
          <mc:Choice Requires="wps">
            <w:drawing>
              <wp:anchor distT="0" distB="0" distL="114300" distR="114300" simplePos="0" relativeHeight="251667456" behindDoc="0" locked="0" layoutInCell="0" allowOverlap="1">
                <wp:simplePos x="0" y="0"/>
                <wp:positionH relativeFrom="page">
                  <wp:posOffset>1028700</wp:posOffset>
                </wp:positionH>
                <wp:positionV relativeFrom="paragraph">
                  <wp:posOffset>478790</wp:posOffset>
                </wp:positionV>
                <wp:extent cx="4343400" cy="0"/>
                <wp:effectExtent l="9525" t="6350" r="9525" b="1270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178124" id="Прямая соединительная линия 4" o:spid="_x0000_s1026" style="position:absolute;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1pt,37.7pt" to="423pt,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" o:allowincell="f">
                <w10:wrap anchorx="page"/>
              </v:line>
            </w:pict>
          </mc:Fallback>
        </mc:AlternateConten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Сурет – 8 Апта ішінде жүргізушінің жұмыс кідіріссіздігінің ықтималдығының өзгеруі.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Қисық бір ауысымдағы жүргізушінің күнделікті жұмысына сәйкес жүргізушінің толық демалмау салдары аптаның ортасында көрсетілген, ал ол келесі күннің жұмыс ауысымының соңындағы жұмыс қабілеттілігінің қауіпті төмендеуіне әкеледі.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Шекті жағдайлардың басталу кезеңін, яғни кәсіпшіл ұзақ мерзімді мөлшерді жүргізуші өзі тағайындайды. Егер ол оны міне басталды деп санаса, онда жұмысты тоқтатады және мамандығын өзгертеді, кейде зейнетке дейін уақытта өзгеруі мүмкін.</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Жүргізушінің кәсіпшіл ұзақ мерзім көрсеткіші үлкен қызығушылықты береді. Жүргізушілердің кәсіпшіл ұзақ мерзімділігі жоғары болса, онда автокөліктің жүргізушілер кадрлармен қамтамасыз етуі жақсы болады.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Жүргізушінің кәсіпшіл ұзақ мерзімділігі жаспен ғана емес, сонымен қатар жүргізушінің еңбек жағдайы мен пайдалануда ұйымдастырумен анықталады, ол әртүрлі автокөлік кәсіпорында бірдей болуы мүмкін.</w:t>
      </w: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noProof/>
          <w:sz w:val="28"/>
          <w:szCs w:val="24"/>
          <w:lang w:eastAsia="ru-RU"/>
        </w:rPr>
        <mc:AlternateContent>
          <mc:Choice Requires="wps">
            <w:drawing>
              <wp:anchor distT="0" distB="0" distL="114300" distR="114300" simplePos="0" relativeHeight="251668480" behindDoc="0" locked="0" layoutInCell="1" allowOverlap="1">
                <wp:simplePos x="0" y="0"/>
                <wp:positionH relativeFrom="page">
                  <wp:posOffset>1308735</wp:posOffset>
                </wp:positionH>
                <wp:positionV relativeFrom="paragraph">
                  <wp:posOffset>44450</wp:posOffset>
                </wp:positionV>
                <wp:extent cx="0" cy="2171700"/>
                <wp:effectExtent l="13335" t="5715" r="5715" b="1333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71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DADAB7" id="Прямая соединительная линия 3" o:spid="_x0000_s1026" style="position:absolute;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3.05pt,3.5pt" to="103.05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">
                <w10:wrap anchorx="page"/>
              </v:line>
            </w:pict>
          </mc:Fallback>
        </mc:AlternateContent>
      </w: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noProof/>
          <w:sz w:val="28"/>
          <w:szCs w:val="24"/>
          <w:lang w:eastAsia="ru-RU"/>
        </w:rPr>
        <mc:AlternateContent>
          <mc:Choice Requires="wps">
            <w:drawing>
              <wp:anchor distT="0" distB="0" distL="114300" distR="114300" simplePos="0" relativeHeight="251670528" behindDoc="0" locked="0" layoutInCell="1" allowOverlap="1">
                <wp:simplePos x="0" y="0"/>
                <wp:positionH relativeFrom="page">
                  <wp:posOffset>1308735</wp:posOffset>
                </wp:positionH>
                <wp:positionV relativeFrom="paragraph">
                  <wp:posOffset>189230</wp:posOffset>
                </wp:positionV>
                <wp:extent cx="4572000" cy="0"/>
                <wp:effectExtent l="13335" t="6350" r="5715" b="1270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90EC44" id="Прямая соединительная линия 2" o:spid="_x0000_s1026" style="position:absolute;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3.05pt,14.9pt" to="463.0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">
                <w10:wrap anchorx="page"/>
              </v:line>
            </w:pict>
          </mc:Fallback>
        </mc:AlternateContent>
      </w: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noProof/>
          <w:sz w:val="28"/>
          <w:szCs w:val="24"/>
          <w:lang w:eastAsia="ru-RU"/>
        </w:rPr>
        <mc:AlternateContent>
          <mc:Choice Requires="wps">
            <w:drawing>
              <wp:anchor distT="0" distB="0" distL="114300" distR="114300" simplePos="0" relativeHeight="251669504" behindDoc="0" locked="0" layoutInCell="1" allowOverlap="1">
                <wp:simplePos x="0" y="0"/>
                <wp:positionH relativeFrom="page">
                  <wp:posOffset>1308735</wp:posOffset>
                </wp:positionH>
                <wp:positionV relativeFrom="paragraph">
                  <wp:posOffset>69215</wp:posOffset>
                </wp:positionV>
                <wp:extent cx="4572000" cy="0"/>
                <wp:effectExtent l="13335" t="13970" r="5715" b="508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5A8D90" id="Прямая соединительная линия 1" o:spid="_x0000_s1026" style="position:absolute;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3.05pt,5.45pt" to="463.0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">
                <w10:wrap anchorx="page"/>
              </v:line>
            </w:pict>
          </mc:Fallback>
        </mc:AlternateContent>
      </w: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jc w:val="both"/>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Сурет – 9 Оның қызметіндегі барлық мерзімдегі жүргізушінің жұмыс қауіпсіздік ықтималдығының өзгеруі.</w:t>
      </w:r>
    </w:p>
    <w:p w:rsidR="00610D7C" w:rsidRPr="00610D7C" w:rsidRDefault="00610D7C" w:rsidP="00610D7C">
      <w:pPr>
        <w:spacing w:after="0" w:line="240" w:lineRule="auto"/>
        <w:jc w:val="both"/>
        <w:rPr>
          <w:rFonts w:ascii="KZ Times New Roman" w:eastAsia="Times New Roman" w:hAnsi="KZ Times New Roman" w:cs="Times New Roman"/>
          <w:sz w:val="28"/>
          <w:szCs w:val="28"/>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Жүргізушілік сапаның жақсы сақталуы жекеше автомобильдер иесі үшін өте маңызды, жүргізуде шекті үзілістер мен орташа жылдық жүрістің (10-12 мың км. дейін) аз болғаны.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Барлық категориялы жүргізушілердің еңбек қызметіндегі үзілісі мен ауру жағдайлары бақыланады. Кәсіпшіл жүргізушілердің еңбек қабілеті уақытымен кеткен аурулар 56</w:t>
      </w:r>
      <w:r w:rsidRPr="00610D7C">
        <w:rPr>
          <w:rFonts w:ascii="KZ Times New Roman" w:eastAsia="Times New Roman" w:hAnsi="KZ Times New Roman" w:cs="Times New Roman"/>
          <w:sz w:val="28"/>
          <w:szCs w:val="28"/>
          <w:lang w:eastAsia="ru-RU"/>
        </w:rPr>
        <w:t>%</w:t>
      </w:r>
      <w:r w:rsidRPr="00610D7C">
        <w:rPr>
          <w:rFonts w:ascii="KZ Times New Roman" w:eastAsia="Times New Roman" w:hAnsi="KZ Times New Roman" w:cs="Times New Roman"/>
          <w:sz w:val="28"/>
          <w:szCs w:val="28"/>
          <w:lang w:val="ru-MD" w:eastAsia="ru-RU"/>
        </w:rPr>
        <w:t xml:space="preserve"> құраған, ал сонда еңбек қабілетінің орташа ұзақтылығын жоғалту 11 күнге тең болған.</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Жүргізуде ұзақ үзілістен кейін жүргізуші үшін сол немесе басқа да себептермен басқаруда кәсіпшілдік дағдысының немесе оның дестабилизациясының зияны білінбей болады.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2.5 «Жүргізуші – автомобиль – жол» жүйесінің сенімділігіне ортаның әсері.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Жолдың, автомобильдің, жүргізушінің сенімділігіне орта маңызды әсер етуі мүмкін. Сыртқы ортаның айырмашылығы, онда жол,автомобильдің тұруы; ішкі орта – автомобильде адамдардың ортаға келуі.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Ішкі ортаның ерекшеліктер қатары бар, онда жүргізуші – автомобиль – жол жүйесінің сенімділігін қамтамасыз ету мен бағалауда санасу керек.</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Ішкі ортаның ерекшеліктері: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1 Орта объективті болады. Оның параметрлерін берілген деп санау керек. Бірақ жағдайлар қатарында «Жүргізуші – автомобиль – жол – орта» жүйесінің сенімділігіне ортаның әсерін компенсациялауға болады.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2 Ортаны сипаттайтын параметрлер климатқа, жыл мезгіліне, тәулік уақытына және ауа-райына байланысты.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3 Ортаны сипаттайтын факторлар сан-қилы және кездейсоқ түрде өзгереді, олардың ішіндемыналарды айтуға болады: температура, ауаның ылғалдылығы, жауын-шашын, тұман, бұлттылық және жарықтану, күннің ұзақтылық және тәуліктік қараңғы мерзімі;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4 Орта мына элементтерге әсер етеді: жол, автомобиль, жүргізуші.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 xml:space="preserve">5 Орта ЖАЖО жүйесінің элементтеріне әртүрлі әсер етеді. Жол ортамен үзіліссіз байланысты, ылғи оның ықпалымен болады, осы ықпалдар әртүрлі, бірақ климаты – бір қалыпты автомобиль қажетті сақтауда жұмыс уақытында ғана орта ықпалымен болады, бірақ әрбір тәулік уақытында, әрбір климатты зонада пайдалануға болады, жүргізуші ортада жұмыс уақытының ішінде келеді, ол жүргізушіні жоғары жұмысқа қабілеттілікпен, саямен қамтамсыз етуге арналған (ішкі орта). Сөйтіп, жүргізушінің жұмысқа қабілеттілігі сыртқы ықпалымен де,  (көрумен қабылдау) ішкі ортамен шарттасқан. </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lastRenderedPageBreak/>
        <w:t>Климатты жағдай ортаның парметрлерінің өзгеруі шектігімен, ең бірінші ұзақтық пен қыстың айбарлығымен сипатталады.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Өтпелі кезең – күздік және көктемдік уақытында маңызды бөлімді құрайды. Өтпе және қыстық кезеңдер автомобильдердің сенімділігін және жолға әртүрлі әсер етуіне нашарлатады. Күздік кезеңде жолдың жүру бөлігі ластанады, ал оның ені кішірейеді, жол жағасы күйреледі. Жалпы көру төмендейді, жол белгілері мен таңбаларды жалпы көру нашарлайды.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Қыстық кезеңде жолдың кідіріссіздігі, оны ұстаудың үлкен деңгейіне байланысты, сырғанақ болатын саланың аралығы 84</w:t>
      </w:r>
      <w:r w:rsidRPr="00610D7C">
        <w:rPr>
          <w:rFonts w:ascii="KZ Times New Roman" w:eastAsia="Times New Roman" w:hAnsi="KZ Times New Roman" w:cs="Times New Roman"/>
          <w:sz w:val="28"/>
          <w:szCs w:val="28"/>
          <w:lang w:eastAsia="ru-RU"/>
        </w:rPr>
        <w:t>%</w:t>
      </w:r>
      <w:r w:rsidRPr="00610D7C">
        <w:rPr>
          <w:rFonts w:ascii="KZ Times New Roman" w:eastAsia="Times New Roman" w:hAnsi="KZ Times New Roman" w:cs="Times New Roman"/>
          <w:sz w:val="28"/>
          <w:szCs w:val="28"/>
          <w:lang w:val="ru-MD" w:eastAsia="ru-RU"/>
        </w:rPr>
        <w:t xml:space="preserve"> жетеді. Қыста жер төсемесінің, таңба сызығының анық шегі жоғалады, жүру бөлігінің пайдаланылатын ені кішірейеді, жүргізушінің ықпалын сертті, ландшафтты жоспарлаумен әлсіретеді. Жамылғының тайғанақтығы жоғарылайды, ал ол ЖКО санын көбейтеді.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eastAsia="ru-RU"/>
        </w:rPr>
      </w:pPr>
      <w:r w:rsidRPr="00610D7C">
        <w:rPr>
          <w:rFonts w:ascii="KZ Times New Roman" w:eastAsia="Times New Roman" w:hAnsi="KZ Times New Roman" w:cs="Times New Roman"/>
          <w:sz w:val="28"/>
          <w:szCs w:val="28"/>
          <w:lang w:val="ru-MD" w:eastAsia="ru-RU"/>
        </w:rPr>
        <w:t xml:space="preserve">Жамылғы сапасының негізі көрсеткіштері ілінісу коэффициенті болып табылады. Коэффициент </w:t>
      </w:r>
      <w:r w:rsidRPr="00610D7C">
        <w:rPr>
          <w:rFonts w:ascii="KZ Times New Roman" w:eastAsia="Times New Roman" w:hAnsi="KZ Times New Roman" w:cs="Times New Roman"/>
          <w:position w:val="-10"/>
          <w:sz w:val="28"/>
          <w:szCs w:val="28"/>
          <w:lang w:eastAsia="ru-RU"/>
        </w:rPr>
        <w:object w:dxaOrig="22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2.75pt" o:ole="">
            <v:imagedata r:id="rId4" o:title=""/>
          </v:shape>
          <o:OLEObject Type="Embed" ProgID="Equation.3" ShapeID="_x0000_i1025" DrawAspect="Content" ObjectID="_1820872206" r:id="rId5"/>
        </w:object>
      </w:r>
      <w:r w:rsidRPr="00610D7C">
        <w:rPr>
          <w:rFonts w:ascii="KZ Times New Roman" w:eastAsia="Times New Roman" w:hAnsi="KZ Times New Roman" w:cs="Times New Roman"/>
          <w:sz w:val="28"/>
          <w:szCs w:val="28"/>
          <w:lang w:val="ru-MD" w:eastAsia="ru-RU"/>
        </w:rPr>
        <w:t xml:space="preserve"> - кездейсоқ мөлшер, ол жамылғының қызмет ету мерзіміне, жыл уақытына, ауа-райы мен басқа да жағдайларға байланысты </w:t>
      </w:r>
      <w:r w:rsidRPr="00610D7C">
        <w:rPr>
          <w:rFonts w:ascii="KZ Times New Roman" w:eastAsia="Times New Roman" w:hAnsi="KZ Times New Roman" w:cs="Times New Roman"/>
          <w:position w:val="-10"/>
          <w:sz w:val="28"/>
          <w:szCs w:val="28"/>
          <w:lang w:eastAsia="ru-RU"/>
        </w:rPr>
        <w:object w:dxaOrig="220" w:dyaOrig="260">
          <v:shape id="_x0000_i1026" type="#_x0000_t75" style="width:11.25pt;height:12.75pt" o:ole="">
            <v:imagedata r:id="rId4" o:title=""/>
          </v:shape>
          <o:OLEObject Type="Embed" ProgID="Equation.3" ShapeID="_x0000_i1026" DrawAspect="Content" ObjectID="_1820872207" r:id="rId6"/>
        </w:object>
      </w:r>
      <w:r w:rsidRPr="00610D7C">
        <w:rPr>
          <w:rFonts w:ascii="KZ Times New Roman" w:eastAsia="Times New Roman" w:hAnsi="KZ Times New Roman" w:cs="Times New Roman"/>
          <w:sz w:val="28"/>
          <w:szCs w:val="28"/>
          <w:lang w:val="ru-MD" w:eastAsia="ru-RU"/>
        </w:rPr>
        <w:t xml:space="preserve"> төмендеуі ЖКО есебінің азаю ықтималдығы болып табылады. Жолды жоспарлау кезінде</w:t>
      </w:r>
      <w:r w:rsidRPr="00610D7C">
        <w:rPr>
          <w:rFonts w:ascii="KZ Times New Roman" w:eastAsia="Times New Roman" w:hAnsi="KZ Times New Roman" w:cs="Times New Roman"/>
          <w:sz w:val="28"/>
          <w:szCs w:val="28"/>
          <w:lang w:eastAsia="ru-RU"/>
        </w:rPr>
        <w:t xml:space="preserve"> </w:t>
      </w:r>
      <w:r w:rsidRPr="00610D7C">
        <w:rPr>
          <w:rFonts w:ascii="KZ Times New Roman" w:eastAsia="Times New Roman" w:hAnsi="KZ Times New Roman" w:cs="Times New Roman"/>
          <w:position w:val="-10"/>
          <w:sz w:val="28"/>
          <w:szCs w:val="28"/>
          <w:lang w:eastAsia="ru-RU"/>
        </w:rPr>
        <w:object w:dxaOrig="220" w:dyaOrig="260">
          <v:shape id="_x0000_i1027" type="#_x0000_t75" style="width:11.25pt;height:12.75pt" o:ole="">
            <v:imagedata r:id="rId4" o:title=""/>
          </v:shape>
          <o:OLEObject Type="Embed" ProgID="Equation.3" ShapeID="_x0000_i1027" DrawAspect="Content" ObjectID="_1820872208" r:id="rId7"/>
        </w:object>
      </w:r>
      <w:r w:rsidRPr="00610D7C">
        <w:rPr>
          <w:rFonts w:ascii="KZ Times New Roman" w:eastAsia="Times New Roman" w:hAnsi="KZ Times New Roman" w:cs="Times New Roman"/>
          <w:sz w:val="28"/>
          <w:szCs w:val="28"/>
          <w:lang w:val="ru-MD" w:eastAsia="ru-RU"/>
        </w:rPr>
        <w:t xml:space="preserve"> мөлшерін қозғалу жағдайында ауысудың жылдамдықтар қатынасын көрсететін апаттылық коэффициенттерімен байланысты. Алдыңғы учаскелерінен кейінгі жаман сапаға өту апаттылық коэффициентінің көтерілуімен сәйкес. Жақсы жолда (</w:t>
      </w:r>
      <w:r w:rsidRPr="00610D7C">
        <w:rPr>
          <w:rFonts w:ascii="KZ Times New Roman" w:eastAsia="Times New Roman" w:hAnsi="KZ Times New Roman" w:cs="Times New Roman"/>
          <w:position w:val="-10"/>
          <w:sz w:val="28"/>
          <w:szCs w:val="28"/>
          <w:lang w:eastAsia="ru-RU"/>
        </w:rPr>
        <w:object w:dxaOrig="220" w:dyaOrig="260">
          <v:shape id="_x0000_i1028" type="#_x0000_t75" style="width:11.25pt;height:12.75pt" o:ole="">
            <v:imagedata r:id="rId4" o:title=""/>
          </v:shape>
          <o:OLEObject Type="Embed" ProgID="Equation.3" ShapeID="_x0000_i1028" DrawAspect="Content" ObjectID="_1820872209" r:id="rId8"/>
        </w:object>
      </w:r>
      <w:r w:rsidRPr="00610D7C">
        <w:rPr>
          <w:rFonts w:ascii="KZ Times New Roman" w:eastAsia="Times New Roman" w:hAnsi="KZ Times New Roman" w:cs="Times New Roman"/>
          <w:sz w:val="28"/>
          <w:szCs w:val="28"/>
          <w:lang w:eastAsia="ru-RU"/>
        </w:rPr>
        <w:t>=</w:t>
      </w:r>
      <w:r w:rsidRPr="00610D7C">
        <w:rPr>
          <w:rFonts w:ascii="KZ Times New Roman" w:eastAsia="Times New Roman" w:hAnsi="KZ Times New Roman" w:cs="Times New Roman"/>
          <w:sz w:val="28"/>
          <w:szCs w:val="28"/>
          <w:lang w:val="ru-MD" w:eastAsia="ru-RU"/>
        </w:rPr>
        <w:t>0,7). К</w:t>
      </w:r>
      <w:r w:rsidRPr="00610D7C">
        <w:rPr>
          <w:rFonts w:ascii="KZ Times New Roman" w:eastAsia="Times New Roman" w:hAnsi="KZ Times New Roman" w:cs="Times New Roman"/>
          <w:sz w:val="28"/>
          <w:szCs w:val="28"/>
          <w:vertAlign w:val="subscript"/>
          <w:lang w:val="ru-MD" w:eastAsia="ru-RU"/>
        </w:rPr>
        <w:t>АПАТ</w:t>
      </w:r>
      <w:r w:rsidRPr="00610D7C">
        <w:rPr>
          <w:rFonts w:ascii="KZ Times New Roman" w:eastAsia="Times New Roman" w:hAnsi="KZ Times New Roman" w:cs="Times New Roman"/>
          <w:sz w:val="28"/>
          <w:szCs w:val="28"/>
          <w:lang w:eastAsia="ru-RU"/>
        </w:rPr>
        <w:t>=</w:t>
      </w:r>
      <w:r w:rsidRPr="00610D7C">
        <w:rPr>
          <w:rFonts w:ascii="KZ Times New Roman" w:eastAsia="Times New Roman" w:hAnsi="KZ Times New Roman" w:cs="Times New Roman"/>
          <w:sz w:val="28"/>
          <w:szCs w:val="28"/>
          <w:lang w:val="ru-MD" w:eastAsia="ru-RU"/>
        </w:rPr>
        <w:t xml:space="preserve">1 сәйкес. Қозғалыс қауіпсіздігі бойынша бағалау үшін қабылданған </w:t>
      </w:r>
      <w:r w:rsidRPr="00610D7C">
        <w:rPr>
          <w:rFonts w:ascii="KZ Times New Roman" w:eastAsia="Times New Roman" w:hAnsi="KZ Times New Roman" w:cs="Times New Roman"/>
          <w:position w:val="-10"/>
          <w:sz w:val="28"/>
          <w:szCs w:val="28"/>
          <w:lang w:eastAsia="ru-RU"/>
        </w:rPr>
        <w:object w:dxaOrig="220" w:dyaOrig="260">
          <v:shape id="_x0000_i1029" type="#_x0000_t75" style="width:11.25pt;height:12.75pt" o:ole="">
            <v:imagedata r:id="rId4" o:title=""/>
          </v:shape>
          <o:OLEObject Type="Embed" ProgID="Equation.3" ShapeID="_x0000_i1029" DrawAspect="Content" ObjectID="_1820872210" r:id="rId9"/>
        </w:object>
      </w:r>
      <w:r w:rsidRPr="00610D7C">
        <w:rPr>
          <w:rFonts w:ascii="KZ Times New Roman" w:eastAsia="Times New Roman" w:hAnsi="KZ Times New Roman" w:cs="Times New Roman"/>
          <w:sz w:val="28"/>
          <w:szCs w:val="28"/>
          <w:lang w:val="ru-MD" w:eastAsia="ru-RU"/>
        </w:rPr>
        <w:t xml:space="preserve"> мен К</w:t>
      </w:r>
      <w:r w:rsidRPr="00610D7C">
        <w:rPr>
          <w:rFonts w:ascii="KZ Times New Roman" w:eastAsia="Times New Roman" w:hAnsi="KZ Times New Roman" w:cs="Times New Roman"/>
          <w:sz w:val="28"/>
          <w:szCs w:val="28"/>
          <w:vertAlign w:val="subscript"/>
          <w:lang w:val="ru-MD" w:eastAsia="ru-RU"/>
        </w:rPr>
        <w:t>АПАТ</w:t>
      </w:r>
      <w:r w:rsidRPr="00610D7C">
        <w:rPr>
          <w:rFonts w:ascii="KZ Times New Roman" w:eastAsia="Times New Roman" w:hAnsi="KZ Times New Roman" w:cs="Times New Roman"/>
          <w:sz w:val="28"/>
          <w:szCs w:val="28"/>
          <w:lang w:val="ru-MD" w:eastAsia="ru-RU"/>
        </w:rPr>
        <w:t xml:space="preserve"> коэффициенттері арасындағы қатынас кестеде көрсетілген.</w:t>
      </w: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8"/>
          <w:lang w:val="ru-MD" w:eastAsia="ru-RU"/>
        </w:rPr>
      </w:pPr>
      <w:r w:rsidRPr="00610D7C">
        <w:rPr>
          <w:rFonts w:ascii="KZ Times New Roman" w:eastAsia="Times New Roman" w:hAnsi="KZ Times New Roman" w:cs="Times New Roman"/>
          <w:sz w:val="28"/>
          <w:szCs w:val="28"/>
          <w:lang w:val="ru-MD" w:eastAsia="ru-RU"/>
        </w:rPr>
        <w:t>Жолмен автомобиль доңғалағының ілінісу коэффициенті мен апаттылық коэффициентінің ара қатынасы.</w:t>
      </w: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8"/>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8"/>
          <w:lang w:val="ru-MD" w:eastAsia="ru-RU"/>
        </w:rPr>
      </w:pPr>
    </w:p>
    <w:p w:rsidR="00610D7C" w:rsidRPr="00610D7C" w:rsidRDefault="00610D7C" w:rsidP="00610D7C">
      <w:pPr>
        <w:spacing w:after="0" w:line="240" w:lineRule="auto"/>
        <w:jc w:val="both"/>
        <w:rPr>
          <w:rFonts w:ascii="KZ Times New Roman" w:eastAsia="Times New Roman" w:hAnsi="KZ Times New Roman" w:cs="Times New Roman"/>
          <w:sz w:val="28"/>
          <w:szCs w:val="28"/>
          <w:lang w:val="ru-MD"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698"/>
        <w:gridCol w:w="1081"/>
        <w:gridCol w:w="1081"/>
        <w:gridCol w:w="1081"/>
        <w:gridCol w:w="1081"/>
        <w:gridCol w:w="1081"/>
        <w:gridCol w:w="737"/>
      </w:tblGrid>
      <w:tr w:rsidR="00610D7C" w:rsidRPr="00610D7C" w:rsidTr="009B3C02">
        <w:tblPrEx>
          <w:tblCellMar>
            <w:top w:w="0" w:type="dxa"/>
            <w:bottom w:w="0" w:type="dxa"/>
          </w:tblCellMar>
        </w:tblPrEx>
        <w:trPr>
          <w:cantSplit/>
        </w:trPr>
        <w:tc>
          <w:tcPr>
            <w:tcW w:w="2160" w:type="dxa"/>
          </w:tcPr>
          <w:p w:rsidR="00610D7C" w:rsidRPr="00610D7C" w:rsidRDefault="00610D7C" w:rsidP="00610D7C">
            <w:pPr>
              <w:spacing w:after="0" w:line="240" w:lineRule="auto"/>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Параметрлер</w:t>
            </w:r>
          </w:p>
        </w:tc>
        <w:tc>
          <w:tcPr>
            <w:tcW w:w="6840" w:type="dxa"/>
            <w:gridSpan w:val="7"/>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Параметрлердің сандық мәндері</w:t>
            </w:r>
          </w:p>
        </w:tc>
      </w:tr>
      <w:tr w:rsidR="00610D7C" w:rsidRPr="00610D7C" w:rsidTr="009B3C02">
        <w:tblPrEx>
          <w:tblCellMar>
            <w:top w:w="0" w:type="dxa"/>
            <w:bottom w:w="0" w:type="dxa"/>
          </w:tblCellMar>
        </w:tblPrEx>
        <w:tc>
          <w:tcPr>
            <w:tcW w:w="2160" w:type="dxa"/>
          </w:tcPr>
          <w:p w:rsidR="00610D7C" w:rsidRPr="00610D7C" w:rsidRDefault="00610D7C" w:rsidP="00610D7C">
            <w:pPr>
              <w:spacing w:after="0" w:line="240" w:lineRule="auto"/>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 xml:space="preserve">Ілінісу коэф, </w:t>
            </w:r>
            <w:r w:rsidRPr="00610D7C">
              <w:rPr>
                <w:rFonts w:ascii="KZ Times New Roman" w:eastAsia="Times New Roman" w:hAnsi="KZ Times New Roman" w:cs="Times New Roman"/>
                <w:position w:val="-10"/>
                <w:sz w:val="28"/>
                <w:szCs w:val="24"/>
                <w:lang w:eastAsia="ru-RU"/>
              </w:rPr>
              <w:object w:dxaOrig="220" w:dyaOrig="260">
                <v:shape id="_x0000_i1030" type="#_x0000_t75" style="width:11.25pt;height:12.75pt" o:ole="">
                  <v:imagedata r:id="rId4" o:title=""/>
                </v:shape>
                <o:OLEObject Type="Embed" ProgID="Equation.3" ShapeID="_x0000_i1030" DrawAspect="Content" ObjectID="_1820872211" r:id="rId10"/>
              </w:object>
            </w:r>
          </w:p>
        </w:tc>
        <w:tc>
          <w:tcPr>
            <w:tcW w:w="698"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0,2</w:t>
            </w:r>
          </w:p>
        </w:tc>
        <w:tc>
          <w:tcPr>
            <w:tcW w:w="1081"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0,3</w:t>
            </w:r>
          </w:p>
        </w:tc>
        <w:tc>
          <w:tcPr>
            <w:tcW w:w="1081"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0,4</w:t>
            </w:r>
          </w:p>
        </w:tc>
        <w:tc>
          <w:tcPr>
            <w:tcW w:w="1081"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0,5</w:t>
            </w:r>
          </w:p>
        </w:tc>
        <w:tc>
          <w:tcPr>
            <w:tcW w:w="1081"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0,6</w:t>
            </w:r>
          </w:p>
        </w:tc>
        <w:tc>
          <w:tcPr>
            <w:tcW w:w="1081"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0,7</w:t>
            </w:r>
          </w:p>
        </w:tc>
        <w:tc>
          <w:tcPr>
            <w:tcW w:w="737"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0,8</w:t>
            </w:r>
          </w:p>
        </w:tc>
      </w:tr>
      <w:tr w:rsidR="00610D7C" w:rsidRPr="00610D7C" w:rsidTr="009B3C02">
        <w:tblPrEx>
          <w:tblCellMar>
            <w:top w:w="0" w:type="dxa"/>
            <w:bottom w:w="0" w:type="dxa"/>
          </w:tblCellMar>
        </w:tblPrEx>
        <w:tc>
          <w:tcPr>
            <w:tcW w:w="2160" w:type="dxa"/>
          </w:tcPr>
          <w:p w:rsidR="00610D7C" w:rsidRPr="00610D7C" w:rsidRDefault="00610D7C" w:rsidP="00610D7C">
            <w:pPr>
              <w:spacing w:after="0" w:line="240" w:lineRule="auto"/>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Апаттылық коэф, К</w:t>
            </w:r>
            <w:r w:rsidRPr="00610D7C">
              <w:rPr>
                <w:rFonts w:ascii="KZ Times New Roman" w:eastAsia="Times New Roman" w:hAnsi="KZ Times New Roman" w:cs="Times New Roman"/>
                <w:sz w:val="28"/>
                <w:szCs w:val="24"/>
                <w:vertAlign w:val="subscript"/>
                <w:lang w:eastAsia="ru-RU"/>
              </w:rPr>
              <w:t>АПАТ</w:t>
            </w:r>
          </w:p>
        </w:tc>
        <w:tc>
          <w:tcPr>
            <w:tcW w:w="698"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16</w:t>
            </w:r>
          </w:p>
        </w:tc>
        <w:tc>
          <w:tcPr>
            <w:tcW w:w="1081"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8</w:t>
            </w:r>
          </w:p>
        </w:tc>
        <w:tc>
          <w:tcPr>
            <w:tcW w:w="1081"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3</w:t>
            </w:r>
          </w:p>
        </w:tc>
        <w:tc>
          <w:tcPr>
            <w:tcW w:w="1081"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2</w:t>
            </w:r>
          </w:p>
        </w:tc>
        <w:tc>
          <w:tcPr>
            <w:tcW w:w="1081"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1,5</w:t>
            </w:r>
          </w:p>
        </w:tc>
        <w:tc>
          <w:tcPr>
            <w:tcW w:w="1081"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1,0</w:t>
            </w:r>
          </w:p>
        </w:tc>
        <w:tc>
          <w:tcPr>
            <w:tcW w:w="737"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0,5</w:t>
            </w:r>
          </w:p>
        </w:tc>
      </w:tr>
    </w:tbl>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К</w:t>
      </w:r>
      <w:r w:rsidRPr="00610D7C">
        <w:rPr>
          <w:rFonts w:ascii="KZ Times New Roman" w:eastAsia="Times New Roman" w:hAnsi="KZ Times New Roman" w:cs="Times New Roman"/>
          <w:sz w:val="28"/>
          <w:szCs w:val="24"/>
          <w:vertAlign w:val="subscript"/>
          <w:lang w:eastAsia="ru-RU"/>
        </w:rPr>
        <w:t xml:space="preserve">АПАТ </w:t>
      </w:r>
      <w:r w:rsidRPr="00610D7C">
        <w:rPr>
          <w:rFonts w:ascii="KZ Times New Roman" w:eastAsia="Times New Roman" w:hAnsi="KZ Times New Roman" w:cs="Times New Roman"/>
          <w:sz w:val="28"/>
          <w:szCs w:val="24"/>
          <w:lang w:eastAsia="ru-RU"/>
        </w:rPr>
        <w:t xml:space="preserve">= </w:t>
      </w:r>
      <w:r w:rsidRPr="00610D7C">
        <w:rPr>
          <w:rFonts w:ascii="KZ Times New Roman" w:eastAsia="Times New Roman" w:hAnsi="KZ Times New Roman" w:cs="Times New Roman"/>
          <w:sz w:val="28"/>
          <w:szCs w:val="24"/>
          <w:lang w:val="en-US" w:eastAsia="ru-RU"/>
        </w:rPr>
        <w:t>f</w:t>
      </w:r>
      <w:r w:rsidRPr="00610D7C">
        <w:rPr>
          <w:rFonts w:ascii="KZ Times New Roman" w:eastAsia="Times New Roman" w:hAnsi="KZ Times New Roman" w:cs="Times New Roman"/>
          <w:sz w:val="28"/>
          <w:szCs w:val="24"/>
          <w:lang w:val="ru-MD" w:eastAsia="ru-RU"/>
        </w:rPr>
        <w:t>(</w:t>
      </w:r>
      <w:r w:rsidRPr="00610D7C">
        <w:rPr>
          <w:rFonts w:ascii="KZ Times New Roman" w:eastAsia="Times New Roman" w:hAnsi="KZ Times New Roman" w:cs="Times New Roman"/>
          <w:sz w:val="28"/>
          <w:szCs w:val="24"/>
          <w:lang w:val="en-US" w:eastAsia="ru-RU"/>
        </w:rPr>
        <w:t>x</w:t>
      </w:r>
      <w:r w:rsidRPr="00610D7C">
        <w:rPr>
          <w:rFonts w:ascii="KZ Times New Roman" w:eastAsia="Times New Roman" w:hAnsi="KZ Times New Roman" w:cs="Times New Roman"/>
          <w:sz w:val="28"/>
          <w:szCs w:val="24"/>
          <w:lang w:val="ru-MD" w:eastAsia="ru-RU"/>
        </w:rPr>
        <w:t xml:space="preserve">) байланысы сызықты емес; </w:t>
      </w:r>
      <w:r w:rsidRPr="00610D7C">
        <w:rPr>
          <w:rFonts w:ascii="KZ Times New Roman" w:eastAsia="Times New Roman" w:hAnsi="KZ Times New Roman" w:cs="Times New Roman"/>
          <w:sz w:val="28"/>
          <w:szCs w:val="24"/>
          <w:lang w:eastAsia="ru-RU"/>
        </w:rPr>
        <w:t>К</w:t>
      </w:r>
      <w:r w:rsidRPr="00610D7C">
        <w:rPr>
          <w:rFonts w:ascii="KZ Times New Roman" w:eastAsia="Times New Roman" w:hAnsi="KZ Times New Roman" w:cs="Times New Roman"/>
          <w:sz w:val="28"/>
          <w:szCs w:val="24"/>
          <w:vertAlign w:val="subscript"/>
          <w:lang w:eastAsia="ru-RU"/>
        </w:rPr>
        <w:t>АПАТ</w:t>
      </w:r>
      <w:r w:rsidRPr="00610D7C">
        <w:rPr>
          <w:rFonts w:ascii="KZ Times New Roman" w:eastAsia="Times New Roman" w:hAnsi="KZ Times New Roman" w:cs="Times New Roman"/>
          <w:sz w:val="28"/>
          <w:szCs w:val="24"/>
          <w:lang w:eastAsia="ru-RU"/>
        </w:rPr>
        <w:t xml:space="preserve"> тез өсуі </w:t>
      </w:r>
      <w:r w:rsidRPr="00610D7C">
        <w:rPr>
          <w:rFonts w:ascii="KZ Times New Roman" w:eastAsia="Times New Roman" w:hAnsi="KZ Times New Roman" w:cs="Times New Roman"/>
          <w:position w:val="-10"/>
          <w:sz w:val="28"/>
          <w:szCs w:val="24"/>
          <w:lang w:eastAsia="ru-RU"/>
        </w:rPr>
        <w:object w:dxaOrig="220" w:dyaOrig="260">
          <v:shape id="_x0000_i1031" type="#_x0000_t75" style="width:11.25pt;height:12.75pt" o:ole="">
            <v:imagedata r:id="rId4" o:title=""/>
          </v:shape>
          <o:OLEObject Type="Embed" ProgID="Equation.3" ShapeID="_x0000_i1031" DrawAspect="Content" ObjectID="_1820872212" r:id="rId11"/>
        </w:object>
      </w:r>
      <w:r w:rsidRPr="00610D7C">
        <w:rPr>
          <w:rFonts w:ascii="KZ Times New Roman" w:eastAsia="Times New Roman" w:hAnsi="KZ Times New Roman" w:cs="Times New Roman"/>
          <w:sz w:val="28"/>
          <w:szCs w:val="24"/>
          <w:lang w:eastAsia="ru-RU"/>
        </w:rPr>
        <w:t>&lt;0,4 болғанда басталады. Келтірілген ара қатынасқа орта да әсер етеді. Тарау және жаздық жауын-шашын кезеңінде автомобильдің доңғалағы топырақ съездіне немесе лас жол жағасына шыққанда жол төсемесіне лас түседі және онда кеңейеді. Қауіпті участоктардың аралығы 500 м дейін туады.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eastAsia="ru-RU"/>
        </w:rPr>
        <w:t>ЖАЖО жүйесінінің сенімділігіне ортаның әсері заңдылықпен бағынышты. ЖКО аз саны – қыста, көктемде олардың саны өседі, осы өсу жаз бойы созылады және күзде минимумға жетеді. Ортаның әсері ЖКО сипатын айтады, ол сипат істен шығудың негізгі 2 түрінің ара-қат</w:t>
      </w:r>
      <w:r w:rsidRPr="00610D7C">
        <w:rPr>
          <w:rFonts w:ascii="KZ Times New Roman" w:eastAsia="Times New Roman" w:hAnsi="KZ Times New Roman" w:cs="Times New Roman"/>
          <w:sz w:val="28"/>
          <w:szCs w:val="24"/>
          <w:lang w:val="ru-MD" w:eastAsia="ru-RU"/>
        </w:rPr>
        <w:t xml:space="preserve">ынасы автомобильдің аударылуы мен соқтығысуы. Қыста максимум соқтығысуға жетеді, ал аударылу аз болады, жазда бұл ара-қатынас керісінше болады. Жүргізуші </w:t>
      </w:r>
      <w:r w:rsidRPr="00610D7C">
        <w:rPr>
          <w:rFonts w:ascii="KZ Times New Roman" w:eastAsia="Times New Roman" w:hAnsi="KZ Times New Roman" w:cs="Times New Roman"/>
          <w:sz w:val="28"/>
          <w:szCs w:val="24"/>
          <w:lang w:val="ru-MD" w:eastAsia="ru-RU"/>
        </w:rPr>
        <w:lastRenderedPageBreak/>
        <w:t>түнде тура сапада қозғалу кезінде қашық жарық фарымен жарықтандыруда аралығы күндізгі қалыпты жарықтандыруға қарағанда 8-10 рет аз, яғни сенімді қозғалу үшін талаптарға жүргізушімен таңдалған жылдамдықтар көру аралығында сәйкес келмейді.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Жолдың сипаты мен оның элементтері ортаға әсеріне шалдықпайтынын есте сақтау керек: тура және қисық сомадағы ұзындық, бойлық еңіс, бойлық қырынындағы көріну, жоспардағы қисық радиус және т.б.</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Автомобильде жанама желдің қысымы жоспарда қисық бойынша қозғалыс кезінде өте қауіпті болуы мүмкін, егер желдің ауырлық центрден тепкіш күш әрекетімен түйіссе ғана.</w:t>
      </w: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Желдің әсерінің элементі бойынша жолдың</w:t>
      </w: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ЖКО бөлу.</w:t>
      </w: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0"/>
        <w:gridCol w:w="2340"/>
      </w:tblGrid>
      <w:tr w:rsidR="00610D7C" w:rsidRPr="00610D7C" w:rsidTr="009B3C02">
        <w:tblPrEx>
          <w:tblCellMar>
            <w:top w:w="0" w:type="dxa"/>
            <w:bottom w:w="0" w:type="dxa"/>
          </w:tblCellMar>
        </w:tblPrEx>
        <w:tc>
          <w:tcPr>
            <w:tcW w:w="4500"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Жолдың элементтері</w:t>
            </w:r>
          </w:p>
        </w:tc>
        <w:tc>
          <w:tcPr>
            <w:tcW w:w="2340"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ЖКО, %</w:t>
            </w:r>
          </w:p>
        </w:tc>
      </w:tr>
      <w:tr w:rsidR="00610D7C" w:rsidRPr="00610D7C" w:rsidTr="009B3C02">
        <w:tblPrEx>
          <w:tblCellMar>
            <w:top w:w="0" w:type="dxa"/>
            <w:bottom w:w="0" w:type="dxa"/>
          </w:tblCellMar>
        </w:tblPrEx>
        <w:tc>
          <w:tcPr>
            <w:tcW w:w="4500" w:type="dxa"/>
          </w:tcPr>
          <w:p w:rsidR="00610D7C" w:rsidRPr="00610D7C" w:rsidRDefault="00610D7C" w:rsidP="00610D7C">
            <w:pPr>
              <w:spacing w:after="0" w:line="240" w:lineRule="auto"/>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 xml:space="preserve">Жоспардағы қисық </w:t>
            </w:r>
          </w:p>
          <w:p w:rsidR="00610D7C" w:rsidRPr="00610D7C" w:rsidRDefault="00610D7C" w:rsidP="00610D7C">
            <w:pPr>
              <w:spacing w:after="0" w:line="240" w:lineRule="auto"/>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Жоғары үймелер</w:t>
            </w:r>
          </w:p>
          <w:p w:rsidR="00610D7C" w:rsidRPr="00610D7C" w:rsidRDefault="00610D7C" w:rsidP="00610D7C">
            <w:pPr>
              <w:spacing w:after="0" w:line="240" w:lineRule="auto"/>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Үлкен еңіс салалары</w:t>
            </w:r>
          </w:p>
          <w:p w:rsidR="00610D7C" w:rsidRPr="00610D7C" w:rsidRDefault="00610D7C" w:rsidP="00610D7C">
            <w:pPr>
              <w:spacing w:after="0" w:line="240" w:lineRule="auto"/>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Ормандар мен күйге келтіру шегі</w:t>
            </w:r>
          </w:p>
          <w:p w:rsidR="00610D7C" w:rsidRPr="00610D7C" w:rsidRDefault="00610D7C" w:rsidP="00610D7C">
            <w:pPr>
              <w:spacing w:after="0" w:line="240" w:lineRule="auto"/>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Көпірлер</w:t>
            </w:r>
          </w:p>
          <w:p w:rsidR="00610D7C" w:rsidRPr="00610D7C" w:rsidRDefault="00610D7C" w:rsidP="00610D7C">
            <w:pPr>
              <w:spacing w:after="0" w:line="240" w:lineRule="auto"/>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Басқа орындар</w:t>
            </w:r>
          </w:p>
        </w:tc>
        <w:tc>
          <w:tcPr>
            <w:tcW w:w="2340"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36,8</w:t>
            </w:r>
          </w:p>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17,8</w:t>
            </w:r>
          </w:p>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15,5</w:t>
            </w:r>
          </w:p>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16,7</w:t>
            </w:r>
          </w:p>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3,4</w:t>
            </w:r>
          </w:p>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9,8</w:t>
            </w:r>
          </w:p>
        </w:tc>
      </w:tr>
    </w:tbl>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Тұман кезінде қозғалыс қауіпсіздігіне метеорогиялық көрінудің әсері ерекше байқалады.  Көрінудің нашарлауы кері ара-қатынастың болуынан, әсіресе жылдам магистральдарда тұманның ерекше байқалуы – мұнда ЖКО санының ең көп мөлшері таңғы және түңгі сағаттарда болады.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2.6 Ішкі ортаның әсері.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Жабдықтың сенімділігі мен ішкі ортаның ішкі жүйесі оның санитарлық-тазалық көрсеткіштері мен ақпараттық деректер құралының жұмысқа қабілеттілігімен анықталынады. Санитарлық тазалық жағдайлар бірінші ретте жүргізушіге әсер ететін микроклиматпен, кабинада және кузовтағы ауа құралымен,  дірілдеу мен шуылдармен сипатталады.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Жүргізушінің жұмысқа қабілеттілігіне әсер ететін ішкі орта параметрлерінің мәні 9 кестеде көрсетілген.</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Жүргізушінің жұмысқа қабілеттілігіне әсер ететін климатты жағдай кабинадағы ауа температурасымен, оның ылғалдылығымен, ауысу жылдамдықтарымен анықталынады.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 xml:space="preserve">Температуралық ауа қатынастың бұзылу салдары мен олармен денеге жылу берумен шарттасу жүргізуші сенімділігіне тікелей әсер етеді: сенсомоторлы реакция уақыты көбейеді, қозғалыс координациясы, бұзылу көрсеткіштерімен көрінеді. </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 xml:space="preserve">Сонымен қатар, кабинада ауа температурасының шамамен төмендеуі жүргізушіні абажадай жылы киіммен жұмыс істеуге әкеледі. Бұл автомобильді </w:t>
      </w:r>
      <w:r w:rsidRPr="00610D7C">
        <w:rPr>
          <w:rFonts w:ascii="KZ Times New Roman" w:eastAsia="Times New Roman" w:hAnsi="KZ Times New Roman" w:cs="Times New Roman"/>
          <w:sz w:val="28"/>
          <w:szCs w:val="24"/>
          <w:lang w:eastAsia="ru-RU"/>
        </w:rPr>
        <w:lastRenderedPageBreak/>
        <w:t>автомобильді басқаруды қиындатады, көретін дыбысты ақпараттарды қабылдауға жағаласады.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Кабинада температуралық тәртіптің ЖКО санымен тура байланысы бар.</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eastAsia="ru-RU"/>
        </w:rPr>
        <w:t>Ауа температурасының өзгеруі +20</w:t>
      </w:r>
      <w:r w:rsidRPr="00610D7C">
        <w:rPr>
          <w:rFonts w:ascii="KZ Times New Roman" w:eastAsia="Times New Roman" w:hAnsi="KZ Times New Roman" w:cs="Times New Roman"/>
          <w:sz w:val="28"/>
          <w:szCs w:val="24"/>
          <w:vertAlign w:val="superscript"/>
          <w:lang w:val="ru-MD" w:eastAsia="ru-RU"/>
        </w:rPr>
        <w:t>0</w:t>
      </w:r>
      <w:r w:rsidRPr="00610D7C">
        <w:rPr>
          <w:rFonts w:ascii="KZ Times New Roman" w:eastAsia="Times New Roman" w:hAnsi="KZ Times New Roman" w:cs="Times New Roman"/>
          <w:sz w:val="28"/>
          <w:szCs w:val="24"/>
          <w:vertAlign w:val="superscript"/>
          <w:lang w:eastAsia="ru-RU"/>
        </w:rPr>
        <w:t xml:space="preserve"> </w:t>
      </w:r>
      <w:r w:rsidRPr="00610D7C">
        <w:rPr>
          <w:rFonts w:ascii="KZ Times New Roman" w:eastAsia="Times New Roman" w:hAnsi="KZ Times New Roman" w:cs="Times New Roman"/>
          <w:sz w:val="28"/>
          <w:szCs w:val="24"/>
          <w:lang w:eastAsia="ru-RU"/>
        </w:rPr>
        <w:t>С салыстырғанда, оны +10</w:t>
      </w:r>
      <w:r w:rsidRPr="00610D7C">
        <w:rPr>
          <w:rFonts w:ascii="KZ Times New Roman" w:eastAsia="Times New Roman" w:hAnsi="KZ Times New Roman" w:cs="Times New Roman"/>
          <w:sz w:val="28"/>
          <w:szCs w:val="24"/>
          <w:vertAlign w:val="superscript"/>
          <w:lang w:val="ru-MD" w:eastAsia="ru-RU"/>
        </w:rPr>
        <w:t>0</w:t>
      </w:r>
      <w:r w:rsidRPr="00610D7C">
        <w:rPr>
          <w:rFonts w:ascii="KZ Times New Roman" w:eastAsia="Times New Roman" w:hAnsi="KZ Times New Roman" w:cs="Times New Roman"/>
          <w:sz w:val="28"/>
          <w:szCs w:val="24"/>
          <w:vertAlign w:val="superscript"/>
          <w:lang w:eastAsia="ru-RU"/>
        </w:rPr>
        <w:t xml:space="preserve"> </w:t>
      </w:r>
      <w:r w:rsidRPr="00610D7C">
        <w:rPr>
          <w:rFonts w:ascii="KZ Times New Roman" w:eastAsia="Times New Roman" w:hAnsi="KZ Times New Roman" w:cs="Times New Roman"/>
          <w:sz w:val="28"/>
          <w:szCs w:val="24"/>
          <w:lang w:eastAsia="ru-RU"/>
        </w:rPr>
        <w:t>С дейін төмендетсе, +25</w:t>
      </w:r>
      <w:r w:rsidRPr="00610D7C">
        <w:rPr>
          <w:rFonts w:ascii="KZ Times New Roman" w:eastAsia="Times New Roman" w:hAnsi="KZ Times New Roman" w:cs="Times New Roman"/>
          <w:sz w:val="28"/>
          <w:szCs w:val="24"/>
          <w:vertAlign w:val="superscript"/>
          <w:lang w:val="ru-MD" w:eastAsia="ru-RU"/>
        </w:rPr>
        <w:t>0</w:t>
      </w:r>
      <w:r w:rsidRPr="00610D7C">
        <w:rPr>
          <w:rFonts w:ascii="KZ Times New Roman" w:eastAsia="Times New Roman" w:hAnsi="KZ Times New Roman" w:cs="Times New Roman"/>
          <w:sz w:val="28"/>
          <w:szCs w:val="24"/>
          <w:vertAlign w:val="superscript"/>
          <w:lang w:eastAsia="ru-RU"/>
        </w:rPr>
        <w:t xml:space="preserve"> </w:t>
      </w:r>
      <w:r w:rsidRPr="00610D7C">
        <w:rPr>
          <w:rFonts w:ascii="KZ Times New Roman" w:eastAsia="Times New Roman" w:hAnsi="KZ Times New Roman" w:cs="Times New Roman"/>
          <w:sz w:val="28"/>
          <w:szCs w:val="24"/>
          <w:lang w:eastAsia="ru-RU"/>
        </w:rPr>
        <w:t>С дейін көтерсе, ЖКО саны шамамен 30 %</w:t>
      </w:r>
      <w:r w:rsidRPr="00610D7C">
        <w:rPr>
          <w:rFonts w:ascii="KZ Times New Roman" w:eastAsia="Times New Roman" w:hAnsi="KZ Times New Roman" w:cs="Times New Roman"/>
          <w:sz w:val="28"/>
          <w:szCs w:val="24"/>
          <w:lang w:val="ru-MD" w:eastAsia="ru-RU"/>
        </w:rPr>
        <w:t>-ке көбейеді.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Жүргізушінің кабинадағы уландырғыш зат белгілі жағдайда қауіпті бола бастайды. Өткір және ескі ауру ара қатынасында қажудың өсуі үдейді, автомобильді басқаруда қате кету саны өседі, сонымен қатар ағза осы ара қатынастарға дағдыланбайды.</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Дыбысты ара қатынастар байқалады, жүргізушінің жұмыс қабілеттілігін қиындатады, ақпаратты қабылдау және өңдеу дәлдік пен әрекеттің үйлестірімін төмендетеді. Осының бәрі ЖКО пайда болу ықтималдығын көбейтеді.</w:t>
      </w: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 xml:space="preserve"> </w:t>
      </w: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Кесте 9 Жүргізушінің жұмыс қабілеттілігіне әсер ететін ішкі ортаның</w:t>
      </w: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параметрлері.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68"/>
        <w:gridCol w:w="654"/>
        <w:gridCol w:w="636"/>
        <w:gridCol w:w="558"/>
        <w:gridCol w:w="706"/>
        <w:gridCol w:w="706"/>
        <w:gridCol w:w="986"/>
        <w:gridCol w:w="986"/>
        <w:gridCol w:w="566"/>
        <w:gridCol w:w="706"/>
        <w:gridCol w:w="566"/>
        <w:gridCol w:w="846"/>
        <w:gridCol w:w="706"/>
        <w:gridCol w:w="706"/>
        <w:gridCol w:w="1124"/>
      </w:tblGrid>
      <w:tr w:rsidR="00610D7C" w:rsidRPr="00610D7C" w:rsidTr="009B3C02">
        <w:tblPrEx>
          <w:tblCellMar>
            <w:top w:w="0" w:type="dxa"/>
            <w:bottom w:w="0" w:type="dxa"/>
          </w:tblCellMar>
        </w:tblPrEx>
        <w:trPr>
          <w:cantSplit/>
          <w:trHeight w:val="2587"/>
        </w:trPr>
        <w:tc>
          <w:tcPr>
            <w:tcW w:w="1968"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 xml:space="preserve">Жүргізушіге парметрлердің </w:t>
            </w:r>
          </w:p>
          <w:p w:rsidR="00610D7C" w:rsidRPr="00610D7C" w:rsidRDefault="00610D7C" w:rsidP="00610D7C">
            <w:pPr>
              <w:spacing w:after="0" w:line="240" w:lineRule="auto"/>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Ара қатынас</w:t>
            </w:r>
          </w:p>
          <w:p w:rsidR="00610D7C" w:rsidRPr="00610D7C" w:rsidRDefault="00610D7C" w:rsidP="00610D7C">
            <w:pPr>
              <w:spacing w:after="0" w:line="240" w:lineRule="auto"/>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Деңгейі</w:t>
            </w:r>
          </w:p>
          <w:p w:rsidR="00610D7C" w:rsidRPr="00610D7C" w:rsidRDefault="00610D7C" w:rsidP="00610D7C">
            <w:pPr>
              <w:spacing w:after="0" w:line="240" w:lineRule="auto"/>
              <w:jc w:val="center"/>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jc w:val="center"/>
              <w:rPr>
                <w:rFonts w:ascii="KZ Times New Roman" w:eastAsia="Times New Roman" w:hAnsi="KZ Times New Roman" w:cs="Times New Roman"/>
                <w:sz w:val="28"/>
                <w:szCs w:val="24"/>
                <w:lang w:val="ru-MD" w:eastAsia="ru-RU"/>
              </w:rPr>
            </w:pPr>
          </w:p>
        </w:tc>
        <w:tc>
          <w:tcPr>
            <w:tcW w:w="654" w:type="dxa"/>
            <w:textDirection w:val="btLr"/>
          </w:tcPr>
          <w:p w:rsidR="00610D7C" w:rsidRPr="00610D7C" w:rsidRDefault="00610D7C" w:rsidP="00610D7C">
            <w:pPr>
              <w:spacing w:after="0" w:line="240" w:lineRule="auto"/>
              <w:ind w:left="113" w:right="113"/>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 xml:space="preserve">Температура, </w:t>
            </w:r>
            <w:r w:rsidRPr="00610D7C">
              <w:rPr>
                <w:rFonts w:ascii="KZ Times New Roman" w:eastAsia="Times New Roman" w:hAnsi="KZ Times New Roman" w:cs="Times New Roman"/>
                <w:sz w:val="28"/>
                <w:szCs w:val="24"/>
                <w:vertAlign w:val="superscript"/>
                <w:lang w:val="ru-MD" w:eastAsia="ru-RU"/>
              </w:rPr>
              <w:t>0</w:t>
            </w:r>
            <w:r w:rsidRPr="00610D7C">
              <w:rPr>
                <w:rFonts w:ascii="KZ Times New Roman" w:eastAsia="Times New Roman" w:hAnsi="KZ Times New Roman" w:cs="Times New Roman"/>
                <w:sz w:val="28"/>
                <w:szCs w:val="24"/>
                <w:lang w:val="ru-MD" w:eastAsia="ru-RU"/>
              </w:rPr>
              <w:t>С</w:t>
            </w:r>
          </w:p>
        </w:tc>
        <w:tc>
          <w:tcPr>
            <w:tcW w:w="636" w:type="dxa"/>
            <w:textDirection w:val="btLr"/>
          </w:tcPr>
          <w:p w:rsidR="00610D7C" w:rsidRPr="00610D7C" w:rsidRDefault="00610D7C" w:rsidP="00610D7C">
            <w:pPr>
              <w:spacing w:after="0" w:line="240" w:lineRule="auto"/>
              <w:ind w:left="113" w:right="113"/>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 xml:space="preserve">Ылғалдылық, </w:t>
            </w:r>
            <w:r w:rsidRPr="00610D7C">
              <w:rPr>
                <w:rFonts w:ascii="KZ Times New Roman" w:eastAsia="Times New Roman" w:hAnsi="KZ Times New Roman" w:cs="Times New Roman"/>
                <w:sz w:val="28"/>
                <w:szCs w:val="24"/>
                <w:lang w:eastAsia="ru-RU"/>
              </w:rPr>
              <w:t>%</w:t>
            </w:r>
          </w:p>
          <w:p w:rsidR="00610D7C" w:rsidRPr="00610D7C" w:rsidRDefault="00610D7C" w:rsidP="00610D7C">
            <w:pPr>
              <w:spacing w:after="0" w:line="240" w:lineRule="auto"/>
              <w:ind w:left="113" w:right="113"/>
              <w:jc w:val="center"/>
              <w:rPr>
                <w:rFonts w:ascii="KZ Times New Roman" w:eastAsia="Times New Roman" w:hAnsi="KZ Times New Roman" w:cs="Times New Roman"/>
                <w:sz w:val="28"/>
                <w:szCs w:val="24"/>
                <w:lang w:val="ru-MD" w:eastAsia="ru-RU"/>
              </w:rPr>
            </w:pPr>
          </w:p>
        </w:tc>
        <w:tc>
          <w:tcPr>
            <w:tcW w:w="558" w:type="dxa"/>
            <w:textDirection w:val="btLr"/>
          </w:tcPr>
          <w:p w:rsidR="00610D7C" w:rsidRPr="00610D7C" w:rsidRDefault="00610D7C" w:rsidP="00610D7C">
            <w:pPr>
              <w:spacing w:after="0" w:line="240" w:lineRule="auto"/>
              <w:ind w:left="113" w:right="113"/>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 xml:space="preserve">Оттегінің болуы, </w:t>
            </w:r>
            <w:r w:rsidRPr="00610D7C">
              <w:rPr>
                <w:rFonts w:ascii="KZ Times New Roman" w:eastAsia="Times New Roman" w:hAnsi="KZ Times New Roman" w:cs="Times New Roman"/>
                <w:sz w:val="28"/>
                <w:szCs w:val="24"/>
                <w:lang w:eastAsia="ru-RU"/>
              </w:rPr>
              <w:t>%</w:t>
            </w:r>
          </w:p>
        </w:tc>
        <w:tc>
          <w:tcPr>
            <w:tcW w:w="706" w:type="dxa"/>
            <w:textDirection w:val="btLr"/>
          </w:tcPr>
          <w:p w:rsidR="00610D7C" w:rsidRPr="00610D7C" w:rsidRDefault="00610D7C" w:rsidP="00610D7C">
            <w:pPr>
              <w:spacing w:after="0" w:line="240" w:lineRule="auto"/>
              <w:ind w:left="113" w:right="113"/>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Көміртегі тотығы</w:t>
            </w:r>
          </w:p>
        </w:tc>
        <w:tc>
          <w:tcPr>
            <w:tcW w:w="706" w:type="dxa"/>
            <w:textDirection w:val="btLr"/>
          </w:tcPr>
          <w:p w:rsidR="00610D7C" w:rsidRPr="00610D7C" w:rsidRDefault="00610D7C" w:rsidP="00610D7C">
            <w:pPr>
              <w:spacing w:after="0" w:line="240" w:lineRule="auto"/>
              <w:ind w:left="113" w:right="113"/>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Көміртектің қос тотығы</w:t>
            </w:r>
          </w:p>
        </w:tc>
        <w:tc>
          <w:tcPr>
            <w:tcW w:w="986" w:type="dxa"/>
            <w:textDirection w:val="btLr"/>
          </w:tcPr>
          <w:p w:rsidR="00610D7C" w:rsidRPr="00610D7C" w:rsidRDefault="00610D7C" w:rsidP="00610D7C">
            <w:pPr>
              <w:spacing w:after="0" w:line="240" w:lineRule="auto"/>
              <w:ind w:left="113" w:right="113"/>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Акролеин</w:t>
            </w:r>
          </w:p>
        </w:tc>
        <w:tc>
          <w:tcPr>
            <w:tcW w:w="986" w:type="dxa"/>
            <w:textDirection w:val="btLr"/>
          </w:tcPr>
          <w:p w:rsidR="00610D7C" w:rsidRPr="00610D7C" w:rsidRDefault="00610D7C" w:rsidP="00610D7C">
            <w:pPr>
              <w:spacing w:after="0" w:line="240" w:lineRule="auto"/>
              <w:ind w:left="113" w:right="113"/>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Азот тотығы</w:t>
            </w:r>
          </w:p>
        </w:tc>
        <w:tc>
          <w:tcPr>
            <w:tcW w:w="566" w:type="dxa"/>
            <w:textDirection w:val="btLr"/>
          </w:tcPr>
          <w:p w:rsidR="00610D7C" w:rsidRPr="00610D7C" w:rsidRDefault="00610D7C" w:rsidP="00610D7C">
            <w:pPr>
              <w:spacing w:after="0" w:line="240" w:lineRule="auto"/>
              <w:ind w:left="113" w:right="113"/>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Отынның буы</w:t>
            </w:r>
          </w:p>
        </w:tc>
        <w:tc>
          <w:tcPr>
            <w:tcW w:w="706" w:type="dxa"/>
            <w:textDirection w:val="btLr"/>
          </w:tcPr>
          <w:p w:rsidR="00610D7C" w:rsidRPr="00610D7C" w:rsidRDefault="00610D7C" w:rsidP="00610D7C">
            <w:pPr>
              <w:spacing w:after="0" w:line="240" w:lineRule="auto"/>
              <w:ind w:left="113" w:right="113"/>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Күкірт тотығы</w:t>
            </w:r>
          </w:p>
        </w:tc>
        <w:tc>
          <w:tcPr>
            <w:tcW w:w="566" w:type="dxa"/>
            <w:textDirection w:val="btLr"/>
          </w:tcPr>
          <w:p w:rsidR="00610D7C" w:rsidRPr="00610D7C" w:rsidRDefault="00610D7C" w:rsidP="00610D7C">
            <w:pPr>
              <w:spacing w:after="0" w:line="240" w:lineRule="auto"/>
              <w:ind w:left="113" w:right="113"/>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Мұнайдағы көмірсутектің қосынды құрамы</w:t>
            </w:r>
          </w:p>
        </w:tc>
        <w:tc>
          <w:tcPr>
            <w:tcW w:w="846" w:type="dxa"/>
            <w:textDirection w:val="btLr"/>
          </w:tcPr>
          <w:p w:rsidR="00610D7C" w:rsidRPr="00610D7C" w:rsidRDefault="00610D7C" w:rsidP="00610D7C">
            <w:pPr>
              <w:spacing w:after="0" w:line="240" w:lineRule="auto"/>
              <w:ind w:left="113" w:right="113"/>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Минеральді шаң</w:t>
            </w:r>
          </w:p>
        </w:tc>
        <w:tc>
          <w:tcPr>
            <w:tcW w:w="706" w:type="dxa"/>
            <w:textDirection w:val="btLr"/>
          </w:tcPr>
          <w:p w:rsidR="00610D7C" w:rsidRPr="00610D7C" w:rsidRDefault="00610D7C" w:rsidP="00610D7C">
            <w:pPr>
              <w:spacing w:after="0" w:line="240" w:lineRule="auto"/>
              <w:ind w:left="113" w:right="113"/>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Ауаны беру жылдамдығы, м/с</w:t>
            </w:r>
          </w:p>
        </w:tc>
        <w:tc>
          <w:tcPr>
            <w:tcW w:w="706" w:type="dxa"/>
            <w:textDirection w:val="btLr"/>
          </w:tcPr>
          <w:p w:rsidR="00610D7C" w:rsidRPr="00610D7C" w:rsidRDefault="00610D7C" w:rsidP="00610D7C">
            <w:pPr>
              <w:spacing w:after="0" w:line="240" w:lineRule="auto"/>
              <w:ind w:left="113" w:right="113"/>
              <w:jc w:val="both"/>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Жиілік диапазонындағы орташа квадраттық діріл үдеуі, 0-35 Гц</w:t>
            </w:r>
          </w:p>
        </w:tc>
        <w:tc>
          <w:tcPr>
            <w:tcW w:w="1124" w:type="dxa"/>
            <w:textDirection w:val="btLr"/>
          </w:tcPr>
          <w:p w:rsidR="00610D7C" w:rsidRPr="00610D7C" w:rsidRDefault="00610D7C" w:rsidP="00610D7C">
            <w:pPr>
              <w:spacing w:after="0" w:line="240" w:lineRule="auto"/>
              <w:ind w:left="113" w:right="113"/>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31,5-8000Гц жиілік диапазонындағы шуыл деңгейі</w:t>
            </w:r>
          </w:p>
        </w:tc>
      </w:tr>
      <w:tr w:rsidR="00610D7C" w:rsidRPr="00610D7C" w:rsidTr="009B3C02">
        <w:tblPrEx>
          <w:tblCellMar>
            <w:top w:w="0" w:type="dxa"/>
            <w:bottom w:w="0" w:type="dxa"/>
          </w:tblCellMar>
        </w:tblPrEx>
        <w:tc>
          <w:tcPr>
            <w:tcW w:w="1968"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Саялы</w:t>
            </w:r>
          </w:p>
        </w:tc>
        <w:tc>
          <w:tcPr>
            <w:tcW w:w="654"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+18</w:t>
            </w:r>
          </w:p>
        </w:tc>
        <w:tc>
          <w:tcPr>
            <w:tcW w:w="63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60</w:t>
            </w:r>
          </w:p>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50</w:t>
            </w:r>
          </w:p>
        </w:tc>
        <w:tc>
          <w:tcPr>
            <w:tcW w:w="558"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21</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98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98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56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56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84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0,15</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0,06</w:t>
            </w:r>
          </w:p>
        </w:tc>
        <w:tc>
          <w:tcPr>
            <w:tcW w:w="1124"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50</w:t>
            </w:r>
          </w:p>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60</w:t>
            </w:r>
          </w:p>
        </w:tc>
      </w:tr>
      <w:tr w:rsidR="00610D7C" w:rsidRPr="00610D7C" w:rsidTr="009B3C02">
        <w:tblPrEx>
          <w:tblCellMar>
            <w:top w:w="0" w:type="dxa"/>
            <w:bottom w:w="0" w:type="dxa"/>
          </w:tblCellMar>
        </w:tblPrEx>
        <w:tc>
          <w:tcPr>
            <w:tcW w:w="1968"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Шекті</w:t>
            </w:r>
          </w:p>
        </w:tc>
        <w:tc>
          <w:tcPr>
            <w:tcW w:w="654"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+25</w:t>
            </w:r>
          </w:p>
          <w:p w:rsidR="00610D7C" w:rsidRPr="00610D7C" w:rsidRDefault="00610D7C" w:rsidP="00610D7C">
            <w:pPr>
              <w:spacing w:after="0" w:line="240" w:lineRule="auto"/>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+17</w:t>
            </w:r>
          </w:p>
        </w:tc>
        <w:tc>
          <w:tcPr>
            <w:tcW w:w="63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70</w:t>
            </w:r>
          </w:p>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30</w:t>
            </w:r>
          </w:p>
        </w:tc>
        <w:tc>
          <w:tcPr>
            <w:tcW w:w="558"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15</w:t>
            </w:r>
          </w:p>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14</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0,01</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0,17</w:t>
            </w:r>
          </w:p>
        </w:tc>
        <w:tc>
          <w:tcPr>
            <w:tcW w:w="98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98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56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56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84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0,30</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0,20</w:t>
            </w:r>
          </w:p>
        </w:tc>
        <w:tc>
          <w:tcPr>
            <w:tcW w:w="1124"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80</w:t>
            </w:r>
          </w:p>
        </w:tc>
      </w:tr>
      <w:tr w:rsidR="00610D7C" w:rsidRPr="00610D7C" w:rsidTr="009B3C02">
        <w:tblPrEx>
          <w:tblCellMar>
            <w:top w:w="0" w:type="dxa"/>
            <w:bottom w:w="0" w:type="dxa"/>
          </w:tblCellMar>
        </w:tblPrEx>
        <w:tc>
          <w:tcPr>
            <w:tcW w:w="1968"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Мөлшерлі</w:t>
            </w:r>
          </w:p>
        </w:tc>
        <w:tc>
          <w:tcPr>
            <w:tcW w:w="654"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+50</w:t>
            </w:r>
          </w:p>
          <w:p w:rsidR="00610D7C" w:rsidRPr="00610D7C" w:rsidRDefault="00610D7C" w:rsidP="00610D7C">
            <w:pPr>
              <w:spacing w:after="0" w:line="240" w:lineRule="auto"/>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w:t>
            </w:r>
          </w:p>
        </w:tc>
        <w:tc>
          <w:tcPr>
            <w:tcW w:w="63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100</w:t>
            </w:r>
          </w:p>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w:t>
            </w:r>
          </w:p>
        </w:tc>
        <w:tc>
          <w:tcPr>
            <w:tcW w:w="558"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7</w:t>
            </w:r>
          </w:p>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8</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0,02</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0,40</w:t>
            </w:r>
          </w:p>
        </w:tc>
        <w:tc>
          <w:tcPr>
            <w:tcW w:w="98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0,0001</w:t>
            </w:r>
          </w:p>
        </w:tc>
        <w:tc>
          <w:tcPr>
            <w:tcW w:w="98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0,005</w:t>
            </w:r>
          </w:p>
        </w:tc>
        <w:tc>
          <w:tcPr>
            <w:tcW w:w="56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0,1</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0,01</w:t>
            </w:r>
          </w:p>
        </w:tc>
        <w:tc>
          <w:tcPr>
            <w:tcW w:w="56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0,3</w:t>
            </w:r>
          </w:p>
        </w:tc>
        <w:tc>
          <w:tcPr>
            <w:tcW w:w="84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0,005</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2,0</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0,4</w:t>
            </w:r>
          </w:p>
        </w:tc>
        <w:tc>
          <w:tcPr>
            <w:tcW w:w="1124"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120</w:t>
            </w:r>
          </w:p>
        </w:tc>
      </w:tr>
      <w:tr w:rsidR="00610D7C" w:rsidRPr="00610D7C" w:rsidTr="009B3C02">
        <w:tblPrEx>
          <w:tblCellMar>
            <w:top w:w="0" w:type="dxa"/>
            <w:bottom w:w="0" w:type="dxa"/>
          </w:tblCellMar>
        </w:tblPrEx>
        <w:tc>
          <w:tcPr>
            <w:tcW w:w="1968" w:type="dxa"/>
          </w:tcPr>
          <w:p w:rsidR="00610D7C" w:rsidRPr="00610D7C" w:rsidRDefault="00610D7C" w:rsidP="00610D7C">
            <w:pPr>
              <w:spacing w:after="0" w:line="240" w:lineRule="auto"/>
              <w:jc w:val="both"/>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Жүк автомобилінің кузовында нақты өлшенген</w:t>
            </w:r>
          </w:p>
        </w:tc>
        <w:tc>
          <w:tcPr>
            <w:tcW w:w="654"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+48</w:t>
            </w:r>
          </w:p>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+2</w:t>
            </w:r>
          </w:p>
        </w:tc>
        <w:tc>
          <w:tcPr>
            <w:tcW w:w="63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92</w:t>
            </w:r>
          </w:p>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20</w:t>
            </w:r>
          </w:p>
        </w:tc>
        <w:tc>
          <w:tcPr>
            <w:tcW w:w="558"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0,1</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98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0,0056</w:t>
            </w:r>
          </w:p>
        </w:tc>
        <w:tc>
          <w:tcPr>
            <w:tcW w:w="98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0,0032</w:t>
            </w:r>
          </w:p>
        </w:tc>
        <w:tc>
          <w:tcPr>
            <w:tcW w:w="56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0,4</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56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w:t>
            </w:r>
          </w:p>
        </w:tc>
        <w:tc>
          <w:tcPr>
            <w:tcW w:w="84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0,133</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8,0</w:t>
            </w:r>
          </w:p>
        </w:tc>
        <w:tc>
          <w:tcPr>
            <w:tcW w:w="706"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0,3</w:t>
            </w:r>
          </w:p>
        </w:tc>
        <w:tc>
          <w:tcPr>
            <w:tcW w:w="1124" w:type="dxa"/>
          </w:tcPr>
          <w:p w:rsidR="00610D7C" w:rsidRPr="00610D7C" w:rsidRDefault="00610D7C" w:rsidP="00610D7C">
            <w:pPr>
              <w:spacing w:after="0" w:line="240" w:lineRule="auto"/>
              <w:jc w:val="center"/>
              <w:rPr>
                <w:rFonts w:ascii="KZ Times New Roman" w:eastAsia="Times New Roman" w:hAnsi="KZ Times New Roman" w:cs="Times New Roman"/>
                <w:sz w:val="28"/>
                <w:szCs w:val="24"/>
                <w:lang w:eastAsia="ru-RU"/>
              </w:rPr>
            </w:pPr>
            <w:r w:rsidRPr="00610D7C">
              <w:rPr>
                <w:rFonts w:ascii="KZ Times New Roman" w:eastAsia="Times New Roman" w:hAnsi="KZ Times New Roman" w:cs="Times New Roman"/>
                <w:sz w:val="28"/>
                <w:szCs w:val="24"/>
                <w:lang w:eastAsia="ru-RU"/>
              </w:rPr>
              <w:t>110</w:t>
            </w:r>
          </w:p>
        </w:tc>
      </w:tr>
    </w:tbl>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eastAsia="ru-RU"/>
        </w:rPr>
        <w:t xml:space="preserve">6.3 </w:t>
      </w:r>
      <w:r w:rsidRPr="00610D7C">
        <w:rPr>
          <w:rFonts w:ascii="KZ Times New Roman" w:eastAsia="Times New Roman" w:hAnsi="KZ Times New Roman" w:cs="Times New Roman"/>
          <w:sz w:val="28"/>
          <w:szCs w:val="24"/>
          <w:lang w:val="ru-MD" w:eastAsia="ru-RU"/>
        </w:rPr>
        <w:t>Жұмысты орындау тәртібі</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6.3.1 Сенімділік теориясымен танысу.</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6.3.2 Автомобильдің сенімділігін бағалауды оқу.</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6.3.3 Жол істеуде сенімділікті бағалауды оқу.</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6.3.4 Жүргізушінің әрекетінің сенімділігін бағалауды оқу.</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6.3.5 Ж-А-Ж жүйесінің сенімділігіне ортаның әсері.</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6.3.6 Есеп беруді дайындау.</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6.4 Бақылау сұрақтары</w:t>
      </w:r>
    </w:p>
    <w:p w:rsidR="00610D7C" w:rsidRPr="00610D7C" w:rsidRDefault="00610D7C" w:rsidP="00610D7C">
      <w:pPr>
        <w:spacing w:after="0" w:line="240" w:lineRule="auto"/>
        <w:ind w:firstLine="900"/>
        <w:jc w:val="center"/>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6.4.1 Машина сенімділік теориясы нені оқытады?</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6.4.2 Автомобильдің сенімділігі дегеніміз не?</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6.4.3 Жөндеуге жарамдылық пен сақталу көрсеткіштерін айтыңыз.</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6.4.4 Автожолдардың сенімділік анықтамасы.</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6.4.5 Автожолдардың қабыл алмаудың қандай түрлерін сіз білесіз?</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6.4.6 Жолдың қауіпсіздігін қамтамасыз ететін факторларды атаңыз.</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6.4.7 Жүргізушінің ұзақ мерзімді кәсіпшілдігі, қалпына келтіру, кідіріссіздік, сенімділігіне анықтама беріңіз.</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6.4.8 Жүргізушінің сенімділігін сипаттаңыз (кідіріссіздік, қайта келтіру, ұзақ мерзімді және сақталу).</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6.4.9 Ж-А-Ж жүйесінің сенімділігіне ішкі ортаның әсері.</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6.4.10 Ж-А-Ж жүйесінің сенімділігіне сыртқы ортаның әсері.</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r w:rsidRPr="00610D7C">
        <w:rPr>
          <w:rFonts w:ascii="KZ Times New Roman" w:eastAsia="Times New Roman" w:hAnsi="KZ Times New Roman" w:cs="Times New Roman"/>
          <w:sz w:val="28"/>
          <w:szCs w:val="24"/>
          <w:lang w:val="ru-MD" w:eastAsia="ru-RU"/>
        </w:rPr>
        <w:t>6.4.11 Жүргізушінің жұмысқа қабілеттілігіне әсер ететін ішкі орта параметрлерінің мәнін сипаттаңыз.</w:t>
      </w: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p>
    <w:p w:rsidR="00610D7C" w:rsidRPr="00610D7C" w:rsidRDefault="00610D7C" w:rsidP="00610D7C">
      <w:pPr>
        <w:spacing w:after="0" w:line="240" w:lineRule="auto"/>
        <w:ind w:firstLine="900"/>
        <w:rPr>
          <w:rFonts w:ascii="KZ Times New Roman" w:eastAsia="Times New Roman" w:hAnsi="KZ Times New Roman" w:cs="Times New Roman"/>
          <w:sz w:val="28"/>
          <w:szCs w:val="24"/>
          <w:lang w:val="ru-MD" w:eastAsia="ru-RU"/>
        </w:rPr>
      </w:pPr>
    </w:p>
    <w:p w:rsidR="00960BDD" w:rsidRPr="00610D7C" w:rsidRDefault="00960BDD">
      <w:pPr>
        <w:rPr>
          <w:lang w:val="ru-MD"/>
        </w:rPr>
      </w:pPr>
      <w:bookmarkStart w:id="0" w:name="_GoBack"/>
      <w:bookmarkEnd w:id="0"/>
    </w:p>
    <w:sectPr w:rsidR="00960BDD" w:rsidRPr="00610D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00"/>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50C"/>
    <w:rsid w:val="00610D7C"/>
    <w:rsid w:val="00960BDD"/>
    <w:rsid w:val="00C93E90"/>
    <w:rsid w:val="00FA65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ED854F-748F-4B3E-8F2D-52B8EF536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4.bin"/><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3.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oleObject" Target="embeddings/oleObject2.bin"/><Relationship Id="rId11" Type="http://schemas.openxmlformats.org/officeDocument/2006/relationships/oleObject" Target="embeddings/oleObject7.bin"/><Relationship Id="rId5" Type="http://schemas.openxmlformats.org/officeDocument/2006/relationships/oleObject" Target="embeddings/oleObject1.bin"/><Relationship Id="rId10" Type="http://schemas.openxmlformats.org/officeDocument/2006/relationships/oleObject" Target="embeddings/oleObject6.bin"/><Relationship Id="rId4" Type="http://schemas.openxmlformats.org/officeDocument/2006/relationships/image" Target="media/image1.wmf"/><Relationship Id="rId9"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2920</Words>
  <Characters>16647</Characters>
  <Application>Microsoft Office Word</Application>
  <DocSecurity>0</DocSecurity>
  <Lines>138</Lines>
  <Paragraphs>39</Paragraphs>
  <ScaleCrop>false</ScaleCrop>
  <Company/>
  <LinksUpToDate>false</LinksUpToDate>
  <CharactersWithSpaces>19528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2025-10-01T20:04:00Z</dcterms:created>
  <dcterms:modified xsi:type="dcterms:W3CDTF">2025-10-01T20:04:00Z</dcterms:modified>
</cp:coreProperties>
</file>